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77" w:rsidRDefault="00B556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236"/>
        <w:gridCol w:w="1244"/>
        <w:gridCol w:w="978"/>
        <w:gridCol w:w="3488"/>
        <w:gridCol w:w="2790"/>
        <w:gridCol w:w="1657"/>
        <w:gridCol w:w="236"/>
        <w:gridCol w:w="7238"/>
        <w:gridCol w:w="1658"/>
        <w:gridCol w:w="8910"/>
      </w:tblGrid>
      <w:tr w:rsidR="00AE6377">
        <w:trPr>
          <w:trHeight w:val="10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Urologia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1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56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6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piąty 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0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3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p.w.)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58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Zaliczony tok studiów do IV semestru włącznie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147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Założenia i </w:t>
            </w:r>
            <w:r>
              <w:rPr>
                <w:rFonts w:ascii="Times New Roman" w:hAnsi="Times New Roman"/>
                <w:sz w:val="24"/>
                <w:szCs w:val="24"/>
              </w:rPr>
              <w:t>cele uczenia się: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Celem uczenia się jest poznanie tematyki dotyczącej ostrych i przewlekłych stanów chorobowych układu moczowego u kobiet oraz moczowo-płciowego u mężczyzn, ich diagnostyka  i leczenie zachowawcze oraz operacyjne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studentó</w:t>
            </w:r>
            <w:r>
              <w:rPr>
                <w:rFonts w:ascii="Times New Roman" w:hAnsi="Times New Roman"/>
                <w:sz w:val="24"/>
                <w:szCs w:val="24"/>
              </w:rPr>
              <w:t>w ze stanami nagłymi  w urologii, rozpoznawanie takich stanów, postępowanie i udzielanie kwalifikowanej pomocy przedszpitalnej na miejscu wypadku, podczas transportu, w Izbie Przyjęć oraz Oddziale Urologicznym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AE6377" w:rsidRDefault="00B5560F">
            <w:pPr>
              <w:pStyle w:val="Default"/>
              <w:widowControl w:val="0"/>
            </w:pPr>
            <w:r>
              <w:t>Przygotowanie studenta z zakresu z</w:t>
            </w:r>
            <w:r>
              <w:t xml:space="preserve">agadnień związanych z objawami, patofizjologią, diagnostyką, leczeniem operacyjnym, </w:t>
            </w:r>
            <w:proofErr w:type="spellStart"/>
            <w:r>
              <w:t>postepowaniem</w:t>
            </w:r>
            <w:proofErr w:type="spellEnd"/>
            <w:r>
              <w:t xml:space="preserve"> przedszpitalnym i szpitalnym w schorzeniach, urazach układu moczowego z uwzględnieniem stanów nagłych w urologii. </w:t>
            </w:r>
          </w:p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73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uczenia się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  oraz U_ 01 – U_06 będą sprawdzane na zaliczeniu oraz w trakcie zajęć praktycznych.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: K_01-  K_03 będą sprawdzane podczas zajęć praktycznych w trakcie pracy </w:t>
            </w:r>
            <w:r>
              <w:rPr>
                <w:rFonts w:ascii="Times New Roman" w:hAnsi="Times New Roman"/>
                <w:sz w:val="24"/>
                <w:szCs w:val="24"/>
              </w:rPr>
              <w:t>indywidualnej i grupowej, poprzez dyskusję oraz wyrażanie swoich opinii przez studentów.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0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ocenę)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zakończone są zaliczeniem na ocenę, na podstawie obowiązkowej obecności i zaangażowania w pracy oraz </w:t>
            </w:r>
            <w:r>
              <w:rPr>
                <w:rFonts w:ascii="Times New Roman" w:hAnsi="Times New Roman"/>
                <w:sz w:val="24"/>
                <w:szCs w:val="24"/>
              </w:rPr>
              <w:t>wyników testu końcowego.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Zajęcia praktyczne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warunkiem zaliczenia jest  obecność na wszystkich zajęciach, czynny udział w zajęciach z pacjentem i ocena realizacji określonego zadania, aktywność oceniana na bieżąco. 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Ocena końcowa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/>
                <w:sz w:val="24"/>
                <w:szCs w:val="24"/>
              </w:rPr>
              <w:t>st średnią ocen z wykładów i zajęć praktycznych</w:t>
            </w:r>
          </w:p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409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 w:rsidR="00AE6377" w:rsidRDefault="00B5560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ogólne – anatomia, patofizjologia, symptomatologia układu narządów moczowych i układu narządów płciowych męskich,</w:t>
            </w:r>
          </w:p>
          <w:p w:rsidR="00AE6377" w:rsidRDefault="00B5560F">
            <w:pPr>
              <w:pStyle w:val="Default"/>
              <w:widowControl w:val="0"/>
              <w:numPr>
                <w:ilvl w:val="0"/>
                <w:numId w:val="2"/>
              </w:numPr>
            </w:pPr>
            <w:r>
              <w:t xml:space="preserve">Ocena stanu pacjenta w schorzeniach urologicznych z uwzględnieniem badania przedmiotowego i podmiotowego. Monitorowanie przyrządowe i </w:t>
            </w:r>
            <w:proofErr w:type="spellStart"/>
            <w:r>
              <w:t>bezprzyrządowe</w:t>
            </w:r>
            <w:proofErr w:type="spellEnd"/>
            <w:r>
              <w:t xml:space="preserve"> w stanach zagrożenia życia w urologii. </w:t>
            </w:r>
          </w:p>
          <w:p w:rsidR="00AE6377" w:rsidRDefault="00B5560F">
            <w:pPr>
              <w:pStyle w:val="Default"/>
              <w:widowControl w:val="0"/>
              <w:numPr>
                <w:ilvl w:val="0"/>
                <w:numId w:val="2"/>
              </w:numPr>
            </w:pPr>
            <w:r>
              <w:t xml:space="preserve">Działania ratownicze w ostrym zatrzymaniu moczu. </w:t>
            </w:r>
          </w:p>
          <w:p w:rsidR="00AE6377" w:rsidRDefault="00B5560F">
            <w:pPr>
              <w:pStyle w:val="Default"/>
              <w:widowControl w:val="0"/>
              <w:numPr>
                <w:ilvl w:val="0"/>
                <w:numId w:val="2"/>
              </w:numPr>
            </w:pPr>
            <w:r>
              <w:t>Postępowanie prze</w:t>
            </w:r>
            <w:r>
              <w:t>dszpitalne w urazach nerek, pęcherza, dróg moczowych i narządów płciowych.</w:t>
            </w:r>
          </w:p>
          <w:p w:rsidR="00AE6377" w:rsidRDefault="00B5560F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Stany nagłe nieurazowe w urologii</w:t>
            </w:r>
            <w:r>
              <w:rPr>
                <w:sz w:val="20"/>
                <w:szCs w:val="20"/>
              </w:rPr>
              <w:t xml:space="preserve">. </w:t>
            </w:r>
          </w:p>
          <w:p w:rsidR="00AE6377" w:rsidRDefault="00B5560F">
            <w:pPr>
              <w:widowControl w:val="0"/>
              <w:spacing w:after="0"/>
              <w:ind w:left="630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Przyczyny, objawy i postępowanie w ostrej,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zanerkowej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niewydokności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nerek </w:t>
            </w:r>
            <w:r>
              <w:rPr>
                <w:rFonts w:ascii="Times New Roman" w:hAnsi="Times New Roman"/>
              </w:rPr>
              <w:t>(ostra kolka nerkowa,   kamica nerki, kamica moczowodu, kamica p</w:t>
            </w:r>
            <w:r>
              <w:rPr>
                <w:rFonts w:ascii="Times New Roman" w:hAnsi="Times New Roman"/>
              </w:rPr>
              <w:t>ęcherza moczowego, kamica cewki moczowej)</w:t>
            </w:r>
          </w:p>
          <w:p w:rsidR="00AE6377" w:rsidRDefault="00B5560F">
            <w:pPr>
              <w:widowControl w:val="0"/>
              <w:tabs>
                <w:tab w:val="left" w:pos="586"/>
              </w:tabs>
              <w:spacing w:after="0"/>
              <w:ind w:left="630" w:hanging="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Przyczyny, objawy i postępowanie w ostrej </w:t>
            </w:r>
            <w:proofErr w:type="spellStart"/>
            <w:r>
              <w:rPr>
                <w:rFonts w:ascii="Times New Roman" w:hAnsi="Times New Roman"/>
              </w:rPr>
              <w:t>zanerkowej</w:t>
            </w:r>
            <w:proofErr w:type="spellEnd"/>
            <w:r>
              <w:rPr>
                <w:rFonts w:ascii="Times New Roman" w:hAnsi="Times New Roman"/>
              </w:rPr>
              <w:t xml:space="preserve"> niewydolności nerek (nowotwory układu moczowego w tym rak nerki, rak </w:t>
            </w:r>
            <w:proofErr w:type="spellStart"/>
            <w:r>
              <w:rPr>
                <w:rFonts w:ascii="Times New Roman" w:hAnsi="Times New Roman"/>
              </w:rPr>
              <w:t>urotelialny</w:t>
            </w:r>
            <w:proofErr w:type="spellEnd"/>
            <w:r>
              <w:rPr>
                <w:rFonts w:ascii="Times New Roman" w:hAnsi="Times New Roman"/>
              </w:rPr>
              <w:t xml:space="preserve"> górnych dróg moczowych, rak pęcherza moczowego, rak gruczołu krokowego, rak jądra, rak cewki moczowej, rak prącia, inne n</w:t>
            </w:r>
            <w:r>
              <w:rPr>
                <w:rFonts w:ascii="Times New Roman" w:hAnsi="Times New Roman"/>
              </w:rPr>
              <w:t>owotwory przestrzeni zaotrzewnowej i miednicy)</w:t>
            </w:r>
          </w:p>
          <w:p w:rsidR="00AE6377" w:rsidRDefault="00B5560F">
            <w:pPr>
              <w:widowControl w:val="0"/>
              <w:spacing w:after="0"/>
              <w:ind w:left="630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Przyczyny, objawy i postępowanie w ostrej </w:t>
            </w:r>
            <w:proofErr w:type="spellStart"/>
            <w:r>
              <w:rPr>
                <w:rFonts w:ascii="Times New Roman" w:hAnsi="Times New Roman"/>
              </w:rPr>
              <w:t>zanerkowej</w:t>
            </w:r>
            <w:proofErr w:type="spellEnd"/>
            <w:r>
              <w:rPr>
                <w:rFonts w:ascii="Times New Roman" w:hAnsi="Times New Roman"/>
              </w:rPr>
              <w:t xml:space="preserve"> niewydolności nerek (łagodny rozrost gruczołu krokowego, neurogenna dysfunkcja dolnych dróg moczowych, urazy układu moczowego i płciowego)</w:t>
            </w:r>
          </w:p>
          <w:p w:rsidR="00AE6377" w:rsidRDefault="00B5560F">
            <w:pPr>
              <w:pStyle w:val="Default"/>
              <w:widowControl w:val="0"/>
              <w:rPr>
                <w:b/>
              </w:rPr>
            </w:pPr>
            <w:r>
              <w:rPr>
                <w:b/>
              </w:rPr>
              <w:t>Zajęcia prakty</w:t>
            </w:r>
            <w:r>
              <w:rPr>
                <w:b/>
              </w:rPr>
              <w:t>czne</w:t>
            </w:r>
          </w:p>
          <w:p w:rsidR="00AE6377" w:rsidRDefault="00B5560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podmiotowe chorego ze schorzeniem urologicznym oraz ostrym schorzeniem urologicznym,</w:t>
            </w:r>
          </w:p>
          <w:p w:rsidR="00AE6377" w:rsidRDefault="00B5560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przedmiotowe i badania instrumentalne chorego,</w:t>
            </w:r>
          </w:p>
          <w:p w:rsidR="00AE6377" w:rsidRDefault="00B5560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laboratoryjne i obrazowe stosowane w diagnostyce urologicznej,</w:t>
            </w:r>
          </w:p>
          <w:p w:rsidR="00AE6377" w:rsidRDefault="00B5560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Stany nagłe i stany zagrożenia ż</w:t>
            </w:r>
            <w:r>
              <w:rPr>
                <w:rFonts w:ascii="Times New Roman" w:hAnsi="Times New Roman"/>
                <w:sz w:val="24"/>
                <w:szCs w:val="24"/>
              </w:rPr>
              <w:t>ycia w urologii – prezentacja przypadków, omówienie: krwiomocz, kolka nerkowa, powikłania kamicy moczowej, całkowite zatrzymanie moczu, bezmocz wydalniczy, roponercze, ostre choroby naczyń nerkowych, „ostra moszna”, zgorzel Fourniera,  załupek, urazy układ</w:t>
            </w:r>
            <w:r>
              <w:rPr>
                <w:rFonts w:ascii="Times New Roman" w:hAnsi="Times New Roman"/>
                <w:sz w:val="24"/>
                <w:szCs w:val="24"/>
              </w:rPr>
              <w:t>u moczowo-płciowego izolowane i współistniejące z urazami wielonarządowymi, wstrząs septyczny, choroba zatorowo-zakrzepowa)</w:t>
            </w:r>
          </w:p>
          <w:p w:rsidR="00AE6377" w:rsidRDefault="00B5560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doraźne zabiegi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endourologiczne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operacje urologiczne</w:t>
            </w:r>
          </w:p>
          <w:p w:rsidR="00AE6377" w:rsidRDefault="00B5560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Zakażenia w urologii.</w:t>
            </w:r>
          </w:p>
          <w:p w:rsidR="00AE6377" w:rsidRDefault="00B5560F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Przeprowadzanie podstawowego badania </w:t>
            </w:r>
            <w:r>
              <w:rPr>
                <w:rFonts w:ascii="Times New Roman" w:hAnsi="Times New Roman"/>
              </w:rPr>
              <w:t>fizykalnego pacjenta dorosłego w zakresie niezbędnym do ustalenia jego stanu ze szczególnym uwzględnieniem badania urologicznego.</w:t>
            </w:r>
          </w:p>
          <w:p w:rsidR="00AE6377" w:rsidRDefault="00B5560F">
            <w:pPr>
              <w:widowControl w:val="0"/>
              <w:spacing w:after="0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 Asysta przy podstawowych procedurach urologicznych</w:t>
            </w:r>
          </w:p>
          <w:p w:rsidR="00AE6377" w:rsidRDefault="00B5560F">
            <w:pPr>
              <w:widowControl w:val="0"/>
              <w:spacing w:after="0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 Przeprowadzenie cewnikowania pęcherza moczowego u kobiety i mężcz</w:t>
            </w:r>
            <w:r>
              <w:rPr>
                <w:rFonts w:ascii="Times New Roman" w:hAnsi="Times New Roman"/>
              </w:rPr>
              <w:t>yzny</w:t>
            </w:r>
          </w:p>
          <w:p w:rsidR="00AE6377" w:rsidRDefault="00AE6377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Cewnikowanie pęcherza moczowego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 Terminologia (definicje)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Cewnikowanie </w:t>
            </w:r>
            <w:proofErr w:type="spellStart"/>
            <w:r>
              <w:rPr>
                <w:rFonts w:ascii="Times New Roman" w:hAnsi="Times New Roman"/>
              </w:rPr>
              <w:t>przezcewkowe</w:t>
            </w:r>
            <w:proofErr w:type="spellEnd"/>
            <w:r>
              <w:rPr>
                <w:rFonts w:ascii="Times New Roman" w:hAnsi="Times New Roman"/>
              </w:rPr>
              <w:t xml:space="preserve"> lub nadłonowe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Cewnikowanie krótko- lub długoterminowe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Zamknięty system odprowadzający mocz. Alternatywy, wskazania i przeciwwskazania </w:t>
            </w:r>
          </w:p>
          <w:p w:rsidR="00AE6377" w:rsidRDefault="00B5560F">
            <w:pPr>
              <w:widowControl w:val="0"/>
              <w:spacing w:after="0"/>
              <w:ind w:left="204" w:hanging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Cewniki stałe u dorosłych. Alternatywy dla umieszczenia cewnika stałego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 Wskazania do cewnikowania cewki moczowej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Przeciwwskazania do cewnikowania cewki moczowej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Wskazania do cewnikowania nadłonowego 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Przeciwwskazania do cewnikowania</w:t>
            </w:r>
            <w:r>
              <w:rPr>
                <w:rFonts w:ascii="Times New Roman" w:hAnsi="Times New Roman"/>
              </w:rPr>
              <w:t xml:space="preserve"> nadłonowego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Zalety cewnikowania nadłonowego.</w:t>
            </w:r>
          </w:p>
          <w:p w:rsidR="00AE6377" w:rsidRDefault="00AE6377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Rodzaje cewników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Cewnik jednodrożny.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Cewnik dwudrożny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Cewnik trójdrożny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Cewnik nadłonowy</w:t>
            </w:r>
          </w:p>
          <w:p w:rsidR="00AE6377" w:rsidRDefault="00AE6377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Budowa cewnika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Rozmiar i długość średnicy cewnika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Konstrukcja końcówki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Rozmiar balonu i</w:t>
            </w:r>
            <w:r>
              <w:rPr>
                <w:rFonts w:ascii="Times New Roman" w:hAnsi="Times New Roman"/>
              </w:rPr>
              <w:t xml:space="preserve"> wypełnienie </w:t>
            </w:r>
          </w:p>
          <w:p w:rsidR="00AE6377" w:rsidRDefault="00B5560F">
            <w:pPr>
              <w:widowControl w:val="0"/>
              <w:spacing w:after="0"/>
              <w:ind w:left="204" w:hanging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Worki drenażowe. Zamknięty system drenażowy. Worek na nogę / worek na ciało. Worek o dużej pojemności.  Worek na mocz jednorazowego użytku. 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Zabezpieczenia cewnika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cewnikowania pacjenta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Przygotowanie pacjenta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Procedura wprowadzania żeńskiego i męskiego cewnika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Procedura zakładania cewnika nadłonowego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Trudności, które mogą wystąpić podczas cewnikowania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Pielęgnacja cewnika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Odkażenie ujścia zewnętrznego cewki moczowej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Pielęgnacja cewnika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Opieka nad cewnikiem nadłonowym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Obserwacja i zarządzanie drenażem cewnika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Zaciskanie cewnika lub niezaciskanie. 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Zmiany moczu spowodowane rodzajem pokarmu i lekami </w:t>
            </w:r>
          </w:p>
          <w:p w:rsidR="00AE6377" w:rsidRDefault="00B5560F">
            <w:pPr>
              <w:widowControl w:val="0"/>
              <w:spacing w:after="0"/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Wymiana cewników. Usunięcie cewników cewkowych i nadłonowych . Potencjalne</w:t>
            </w:r>
            <w:r>
              <w:rPr>
                <w:rFonts w:ascii="Times New Roman" w:hAnsi="Times New Roman"/>
              </w:rPr>
              <w:t xml:space="preserve"> problemy podczas usuwania cewnika i po nim. Powikłania </w:t>
            </w:r>
            <w:proofErr w:type="spellStart"/>
            <w:r>
              <w:rPr>
                <w:rFonts w:ascii="Times New Roman" w:hAnsi="Times New Roman"/>
              </w:rPr>
              <w:t>odcewnikowe</w:t>
            </w:r>
            <w:proofErr w:type="spellEnd"/>
            <w:r>
              <w:rPr>
                <w:rFonts w:ascii="Times New Roman" w:hAnsi="Times New Roman"/>
              </w:rPr>
              <w:t>. Zakażenie dróg moczowych związane z cewnikiem. Zatkanie cewnika 13. Uraz jatrogenny podczas cewnikowania . Skurcze pęcherza. Ból pęcherza</w:t>
            </w:r>
          </w:p>
          <w:p w:rsidR="00AE6377" w:rsidRDefault="00B5560F">
            <w:pPr>
              <w:widowControl w:val="0"/>
              <w:spacing w:after="0"/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Krwiomocz . Tworzenie ziarniniaków. Przeciek mocz</w:t>
            </w:r>
            <w:r>
              <w:rPr>
                <w:rFonts w:ascii="Times New Roman" w:hAnsi="Times New Roman"/>
              </w:rPr>
              <w:t xml:space="preserve">u. Niemożność usunięcia cewnika.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Rak płaskonabłonkowy przy długotrwałym cewnikowaniu.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Płukanie pęcherza, nawadnianie. Zasady płukania/ utrzymanie cewnika przy długoterminowym cewnikowaniu. 16. Analiza moczu - pobieranie.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Zapobieganie infekcj</w:t>
            </w:r>
            <w:r>
              <w:rPr>
                <w:rFonts w:ascii="Times New Roman" w:hAnsi="Times New Roman"/>
              </w:rPr>
              <w:t xml:space="preserve">om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1). Podaż płynów 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  Higiena rąk</w:t>
            </w:r>
          </w:p>
          <w:p w:rsidR="00AE6377" w:rsidRDefault="00B556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Podstawowe zabiegi endoskopowe i laparoskopia w urologii.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85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AE6377" w:rsidRDefault="00B5560F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1.Borkowski A. Urologia - podręcznik dla studentów medycyny.  Wydawnictwo Lekarskie PZWL, Warszawa, </w:t>
            </w:r>
            <w:r>
              <w:rPr>
                <w:rFonts w:ascii="Times New Roman" w:hAnsi="Times New Roman"/>
                <w:color w:val="212A51"/>
                <w:sz w:val="24"/>
                <w:szCs w:val="24"/>
                <w:shd w:val="clear" w:color="auto" w:fill="F7F8FB"/>
              </w:rPr>
              <w:t>2015, wyd.2</w:t>
            </w:r>
          </w:p>
          <w:p w:rsidR="00AE6377" w:rsidRDefault="00B5560F">
            <w:pPr>
              <w:widowControl w:val="0"/>
              <w:spacing w:after="0"/>
              <w:rPr>
                <w:rFonts w:ascii="Verdana" w:eastAsia="Times New Roman" w:hAnsi="Verdana"/>
                <w:b/>
                <w:bCs/>
                <w:color w:val="272727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 xml:space="preserve">M.B.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>Siroky</w:t>
            </w:r>
            <w:proofErr w:type="spellEnd"/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 xml:space="preserve">, R.D. Oates, R.K.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>Babayan</w:t>
            </w:r>
            <w:proofErr w:type="spellEnd"/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 xml:space="preserve">.  </w:t>
            </w:r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 xml:space="preserve">Redakcja naukowa wydania polskiego: Krzysztof Bar </w:t>
            </w:r>
            <w:r>
              <w:rPr>
                <w:rFonts w:ascii="Times New Roman" w:eastAsia="Times New Roman" w:hAnsi="Times New Roman"/>
                <w:color w:val="272727"/>
                <w:kern w:val="2"/>
                <w:sz w:val="24"/>
                <w:szCs w:val="24"/>
                <w:lang w:eastAsia="pl-PL"/>
              </w:rPr>
              <w:t xml:space="preserve">Podręcznik urologii. Diagnostyka i leczenie, </w:t>
            </w:r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>Czelej</w:t>
            </w:r>
            <w:proofErr w:type="spellEnd"/>
          </w:p>
          <w:p w:rsidR="00AE6377" w:rsidRDefault="00B5560F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72727"/>
                <w:sz w:val="24"/>
                <w:szCs w:val="24"/>
                <w:lang w:eastAsia="pl-PL"/>
              </w:rPr>
              <w:t>3</w:t>
            </w:r>
            <w:r>
              <w:rPr>
                <w:rFonts w:ascii="Verdana" w:eastAsia="Times New Roman" w:hAnsi="Verdana"/>
                <w:bCs/>
                <w:color w:val="272727"/>
                <w:sz w:val="21"/>
                <w:szCs w:val="21"/>
                <w:lang w:eastAsia="pl-PL"/>
              </w:rPr>
              <w:t>.</w:t>
            </w:r>
            <w:r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>Juszczak</w:t>
            </w:r>
            <w:r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K.,</w:t>
            </w:r>
            <w:r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Drewa T. </w:t>
            </w:r>
            <w:r>
              <w:rPr>
                <w:rFonts w:ascii="Times New Roman" w:hAnsi="Times New Roman"/>
                <w:sz w:val="24"/>
                <w:szCs w:val="24"/>
              </w:rPr>
              <w:t>Urologia ilustrowany podręcznik dla studentów i stażystów</w:t>
            </w:r>
            <w:r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PZWL, 2018,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5560F" w:rsidRPr="00B5560F" w:rsidRDefault="00B5560F" w:rsidP="00B5560F">
            <w:pPr>
              <w:pStyle w:val="Nagwek1"/>
              <w:rPr>
                <w:b w:val="0"/>
                <w:sz w:val="24"/>
                <w:szCs w:val="24"/>
              </w:rPr>
            </w:pPr>
            <w:r w:rsidRPr="00B5560F">
              <w:rPr>
                <w:b w:val="0"/>
                <w:color w:val="000000"/>
                <w:sz w:val="24"/>
                <w:szCs w:val="24"/>
              </w:rPr>
              <w:t xml:space="preserve">4. </w:t>
            </w:r>
            <w:r w:rsidRPr="00B5560F">
              <w:rPr>
                <w:b w:val="0"/>
                <w:sz w:val="24"/>
                <w:szCs w:val="24"/>
              </w:rPr>
              <w:t>Borkowski A. Urologia. Podręcznik dla stude</w:t>
            </w:r>
            <w:r w:rsidRPr="00B5560F">
              <w:rPr>
                <w:b w:val="0"/>
                <w:sz w:val="24"/>
                <w:szCs w:val="24"/>
              </w:rPr>
              <w:t>n</w:t>
            </w:r>
            <w:r w:rsidRPr="00B5560F">
              <w:rPr>
                <w:b w:val="0"/>
                <w:sz w:val="24"/>
                <w:szCs w:val="24"/>
              </w:rPr>
              <w:t>tów medycyny</w:t>
            </w:r>
            <w:r>
              <w:rPr>
                <w:b w:val="0"/>
                <w:sz w:val="24"/>
                <w:szCs w:val="24"/>
              </w:rPr>
              <w:t xml:space="preserve">. 2020. </w:t>
            </w:r>
            <w:r w:rsidRPr="00B5560F">
              <w:rPr>
                <w:b w:val="0"/>
                <w:sz w:val="24"/>
                <w:szCs w:val="24"/>
              </w:rPr>
              <w:t xml:space="preserve">Dokument: </w:t>
            </w:r>
            <w:proofErr w:type="spellStart"/>
            <w:r w:rsidRPr="00B5560F">
              <w:rPr>
                <w:b w:val="0"/>
                <w:i/>
                <w:iCs/>
                <w:sz w:val="24"/>
                <w:szCs w:val="24"/>
              </w:rPr>
              <w:t>pdf</w:t>
            </w:r>
            <w:proofErr w:type="spellEnd"/>
          </w:p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uzupełniająca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AE6377" w:rsidRDefault="00B5560F">
            <w:pPr>
              <w:pStyle w:val="Default"/>
              <w:widowControl w:val="0"/>
            </w:pPr>
            <w:r>
              <w:rPr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lang w:val="en-US"/>
              </w:rPr>
              <w:t xml:space="preserve"> Chambers John B., David </w:t>
            </w:r>
            <w:proofErr w:type="spellStart"/>
            <w:r>
              <w:rPr>
                <w:lang w:val="en-US"/>
              </w:rPr>
              <w:t>Sprigings</w:t>
            </w:r>
            <w:proofErr w:type="spellEnd"/>
            <w:r>
              <w:rPr>
                <w:lang w:val="en-US"/>
              </w:rPr>
              <w:t xml:space="preserve">. </w:t>
            </w:r>
            <w:r>
              <w:t xml:space="preserve">Stany nagłe w medycynie.  PZWL, Wrocław 2014. </w:t>
            </w:r>
          </w:p>
          <w:p w:rsidR="00AE6377" w:rsidRDefault="00B5560F">
            <w:pPr>
              <w:pStyle w:val="Default"/>
              <w:widowControl w:val="0"/>
            </w:pPr>
            <w:r>
              <w:t xml:space="preserve">2. Sosada K. Ostre stany zagrożenia życia pochodzenia wewnętrznego. PZWL 2016 </w:t>
            </w:r>
          </w:p>
          <w:p w:rsidR="00AE6377" w:rsidRDefault="00AE6377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3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Symbol efektu </w:t>
            </w:r>
            <w:r>
              <w:rPr>
                <w:rFonts w:ascii="Times New Roman" w:hAnsi="Times New Roman"/>
                <w:sz w:val="24"/>
                <w:szCs w:val="24"/>
              </w:rPr>
              <w:t>kierunkowego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41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 (zna i rozumie)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1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mechanizmy prowadzące do nagłych zagrożeń zdrowia i życia</w:t>
            </w:r>
            <w:r>
              <w:t>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C.W17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przyczyny, objawy i postępowanie w ostrej niewydolności nerek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C.W30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6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zasady postępowania z pacjentem z założonym </w:t>
            </w:r>
            <w:r>
              <w:rPr>
                <w:rFonts w:ascii="Book Antiqua" w:hAnsi="Book Antiqua"/>
              </w:rPr>
              <w:t>cewnikiem zewnętrznym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C.W47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zasady cewnikowania pęcherza moczowego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C.W97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51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85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 (potrafi)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51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oceniać stan pacjenta w celu ustalenia sposobu postępowania ratunkowego,</w:t>
            </w:r>
            <w:r>
              <w:rPr>
                <w:rFonts w:ascii="Book Antiqua" w:hAnsi="Book Antiqua"/>
              </w:rPr>
              <w:t xml:space="preserve"> przeprowadzać badanie fizykalne pacjenta dorosłego w zakresie niezbędnym do ustalenia jego stanu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 </w:t>
            </w: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135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pStyle w:val="Default"/>
              <w:widowControl w:val="0"/>
            </w:pPr>
            <w:r>
              <w:t xml:space="preserve">podejmuje i wykonuje medyczne czynności ratunkowe w stanach nagłego zagrożenia zdrowotnego </w:t>
            </w:r>
          </w:p>
          <w:p w:rsidR="00AE6377" w:rsidRDefault="00AE6377">
            <w:pPr>
              <w:pStyle w:val="Default"/>
              <w:widowControl w:val="0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C.U2, </w:t>
            </w:r>
          </w:p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</w:t>
            </w:r>
          </w:p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C.U7</w:t>
            </w:r>
          </w:p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C.U10</w:t>
            </w:r>
          </w:p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C.U29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43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zakładać cewnik do pęcherza moczowego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C.U23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wykonywać procedury medyczne pod nadzorem lub na zlecenie lekarza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C.U65</w:t>
            </w: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pStyle w:val="Tekstpodstawowy"/>
              <w:spacing w:before="1" w:line="360" w:lineRule="auto"/>
              <w:ind w:left="466" w:right="5" w:hanging="403"/>
              <w:jc w:val="both"/>
            </w:pPr>
            <w:r>
              <w:t>dostosowywać postępowanie ratunkowe do stanu pacjenta;</w:t>
            </w:r>
          </w:p>
          <w:p w:rsidR="00AE6377" w:rsidRDefault="00AE6377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C.U66,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18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monitorować stan pacjenta podczas badania </w:t>
            </w:r>
            <w:r>
              <w:rPr>
                <w:rFonts w:ascii="Times New Roman" w:hAnsi="Times New Roman"/>
              </w:rPr>
              <w:t>obrazowego.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C.U67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0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 (gotów do)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100"/>
        </w:trPr>
        <w:tc>
          <w:tcPr>
            <w:tcW w:w="11" w:type="dxa"/>
          </w:tcPr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6"/>
            <w:tcBorders>
              <w:top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126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pStyle w:val="Akapitzlist"/>
              <w:widowControl w:val="0"/>
              <w:tabs>
                <w:tab w:val="left" w:pos="346"/>
              </w:tabs>
              <w:spacing w:before="137"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samodzielnego wykonywania zawodu zgodnie z zasadami etyki ogólnej i zawodowej oraz holistycznego i zindywidualizowanego podejścia do pacjenta, uwzględniającego poszanowanie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jegopraw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1.3.3</w:t>
            </w: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9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Book Antiqua" w:eastAsia="SimSun" w:hAnsi="Book Antiqua"/>
                <w:iCs/>
                <w:kern w:val="2"/>
                <w:lang w:eastAsia="hi-IN" w:bidi="hi-IN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1.3.4</w:t>
            </w:r>
          </w:p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5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eastAsia="SimSun" w:hAnsi="Book Antiqua"/>
                <w:iCs/>
                <w:kern w:val="2"/>
                <w:lang w:eastAsia="hi-IN" w:bidi="hi-IN"/>
              </w:rPr>
              <w:t xml:space="preserve">okazuje szacunek wobec pacjenta i </w:t>
            </w:r>
            <w:r>
              <w:rPr>
                <w:rFonts w:ascii="Book Antiqua" w:eastAsia="SimSun" w:hAnsi="Book Antiqua"/>
                <w:iCs/>
                <w:kern w:val="2"/>
                <w:lang w:eastAsia="hi-IN" w:bidi="hi-IN"/>
              </w:rPr>
              <w:t>zrozumienie dla różnic światopoglądowych i kulturowych. stawia dobro pacjenta na pierwszym miejscu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1.3.3</w:t>
            </w:r>
          </w:p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AE6377">
        <w:trPr>
          <w:trHeight w:val="506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377">
        <w:trPr>
          <w:trHeight w:val="34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26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>
              <w:rPr>
                <w:rFonts w:ascii="Times New Roman" w:hAnsi="Times New Roman"/>
                <w:sz w:val="24"/>
                <w:szCs w:val="24"/>
              </w:rPr>
              <w:t>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377" w:rsidRDefault="00AE6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3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4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2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(prezentacji, 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4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44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78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31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9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52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  <w:tr w:rsidR="00AE6377">
        <w:trPr>
          <w:trHeight w:val="288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77" w:rsidRDefault="00B5560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77" w:rsidRDefault="00B5560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20" w:type="dxa"/>
          </w:tcPr>
          <w:p w:rsidR="00AE6377" w:rsidRDefault="00AE6377">
            <w:pPr>
              <w:widowControl w:val="0"/>
            </w:pPr>
          </w:p>
        </w:tc>
        <w:tc>
          <w:tcPr>
            <w:tcW w:w="7353" w:type="dxa"/>
          </w:tcPr>
          <w:p w:rsidR="00AE6377" w:rsidRDefault="00AE6377">
            <w:pPr>
              <w:widowControl w:val="0"/>
            </w:pPr>
          </w:p>
        </w:tc>
        <w:tc>
          <w:tcPr>
            <w:tcW w:w="1681" w:type="dxa"/>
          </w:tcPr>
          <w:p w:rsidR="00AE6377" w:rsidRDefault="00AE6377">
            <w:pPr>
              <w:widowControl w:val="0"/>
            </w:pPr>
          </w:p>
        </w:tc>
        <w:tc>
          <w:tcPr>
            <w:tcW w:w="9053" w:type="dxa"/>
          </w:tcPr>
          <w:p w:rsidR="00AE6377" w:rsidRDefault="00AE6377">
            <w:pPr>
              <w:widowControl w:val="0"/>
            </w:pPr>
          </w:p>
        </w:tc>
      </w:tr>
    </w:tbl>
    <w:p w:rsidR="00AE6377" w:rsidRDefault="00AE6377">
      <w:pPr>
        <w:spacing w:line="240" w:lineRule="auto"/>
        <w:jc w:val="right"/>
        <w:rPr>
          <w:i/>
          <w:sz w:val="24"/>
          <w:szCs w:val="24"/>
        </w:rPr>
      </w:pPr>
    </w:p>
    <w:p w:rsidR="00AE6377" w:rsidRDefault="00AE6377"/>
    <w:sectPr w:rsidR="00AE6377" w:rsidSect="00AE63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06"/>
    <w:multiLevelType w:val="multilevel"/>
    <w:tmpl w:val="2CA8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617202"/>
    <w:multiLevelType w:val="multilevel"/>
    <w:tmpl w:val="029EE0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FB18F1"/>
    <w:multiLevelType w:val="multilevel"/>
    <w:tmpl w:val="034CB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AE6377"/>
    <w:rsid w:val="00AE6377"/>
    <w:rsid w:val="00B5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uiPriority w:val="9"/>
    <w:qFormat/>
    <w:rsid w:val="00B5560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42AE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F310D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42AE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2AE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EA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rsid w:val="00AE63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F310D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styleId="Lista">
    <w:name w:val="List"/>
    <w:basedOn w:val="Tekstpodstawowy"/>
    <w:rsid w:val="00AE6377"/>
    <w:rPr>
      <w:rFonts w:cs="Arial"/>
    </w:rPr>
  </w:style>
  <w:style w:type="paragraph" w:customStyle="1" w:styleId="Caption">
    <w:name w:val="Caption"/>
    <w:basedOn w:val="Normalny"/>
    <w:qFormat/>
    <w:rsid w:val="00AE63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63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D356BF"/>
    <w:pPr>
      <w:ind w:left="720"/>
      <w:contextualSpacing/>
    </w:pPr>
  </w:style>
  <w:style w:type="paragraph" w:customStyle="1" w:styleId="Default">
    <w:name w:val="Default"/>
    <w:qFormat/>
    <w:rsid w:val="0030094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-info">
    <w:name w:val="author-info"/>
    <w:basedOn w:val="Normalny"/>
    <w:qFormat/>
    <w:rsid w:val="00E42AE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42AE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ert-stock">
    <w:name w:val="alert-stock"/>
    <w:basedOn w:val="Normalny"/>
    <w:qFormat/>
    <w:rsid w:val="00E42AE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B55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atch-title">
    <w:name w:val="watch-title"/>
    <w:basedOn w:val="Domylnaczcionkaakapitu"/>
    <w:rsid w:val="00B55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1363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9</cp:revision>
  <dcterms:created xsi:type="dcterms:W3CDTF">2021-09-08T16:02:00Z</dcterms:created>
  <dcterms:modified xsi:type="dcterms:W3CDTF">2023-09-06T20:19:00Z</dcterms:modified>
  <dc:language>pl-PL</dc:language>
</cp:coreProperties>
</file>