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0"/>
        <w:gridCol w:w="918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Praktyka wakacyjna. Odział Anestezjologii i Intensywnej Terapii.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Praktyki </w:t>
            </w:r>
            <w:r>
              <w:rPr>
                <w:rFonts w:cs="Calibri" w:cstheme="minorHAnsi"/>
              </w:rPr>
              <w:t>zawodowe</w:t>
            </w:r>
            <w:r>
              <w:rPr>
                <w:rFonts w:cs="Calibri" w:cstheme="minorHAnsi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164 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Anatomia człowieka; Ratownictwo medyczne w urazach; Choroby wewnętrzne z elementami onkologii; Farmakologia z toksykologią; Medyczne czynności ratunkowe; Medycyna Ratunkowa; Techniki zabiegów medycznych; Ortopedia i traumatologia narządu ruchu; Chirurgia;</w:t>
            </w:r>
          </w:p>
        </w:tc>
      </w:tr>
      <w:tr>
        <w:trPr>
          <w:trHeight w:val="831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Doskonalenie umiejętności w zakresie medycznych czynności ratunkowych i procedur wewnątrz szpitalnych w ramach oddziałów intensywnego nadzoru medycznego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W_01,02,03,04,05,06,07 – będą sprawdzone w czasie praktyk zawodowych przy wykonywaniu czynności medycznych jako uzasadnienie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U_01,02,03,04,05,06,07,09,10,11,12,13,14 – będą ocenione przez wykonanie inwazyjnych i nieinwazyjnych medycznych czynności  ratunkowych w czasie praktyki zawodowej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 -  będą sprawdzone podczas praktyki zawodowej 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Praktyka zawodowa: oceny cząstkowe.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Ocena końcowa jest: </w:t>
            </w:r>
            <w:r>
              <w:rPr>
                <w:rFonts w:cs="Calibri" w:cstheme="minorHAnsi"/>
              </w:rPr>
              <w:t xml:space="preserve">  średnia oceną z poszczególnych merytorycznych wypowiedzi i  czynności ratowniczych  wykonywanych przez studenta.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Postępowanie aseptyczne, antyseptyczne, higieniczne mycie rąk.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 </w:t>
            </w:r>
            <w:r>
              <w:rPr>
                <w:rFonts w:cs="Calibri" w:cstheme="minorHAnsi"/>
              </w:rPr>
              <w:t>Pomiar, ocena i różnicowanie wartości parametrów życiowych.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Monitorowanie podstawowych funkcji życiowych.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Ocena stanu pacjenta wg schematów AVPU i ABCDE.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Wykonanie zapisu elektrokardiograficznego (EKG) osoby dorosłej.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Przygotowanie sprzętu do iniekcji i infuzji, technika posługiwania się sprzętem jednorazowego użytku,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Rozpuszczanie, rozcieńczanie i nabieranie leków z ampułki lub fiolki.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>Wstrzyknięcia podskórne, domięśniowe, dożylne, doszpikowe na zlecenie i pod nadzorem lekarza/pielęgniarki.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Pomiar stężenia glukozy we krwi przy użyciu gleukometru.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Udział w zespole terapeutycznym w przypadku NZK.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Elektroterapia: defibrylacja, kardiowersja, elektrostymulacja.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Przywrócenie i utrzymanie drożności dróg oddechowych: intubacja dotchawicza i zabezpieczenia alternatywne, toaleta drzewa oskrzelowego.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>Wentylacja i tlenoterapia.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Farmakoterapia i płynoterapia ratunkowa.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>Postępowanie z pacjentem urazowym w warunkach OIOM 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>Medyczne czynności ratunkowe we wstrząsie.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Etyka działań ratowniczych.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</w:rPr>
              <w:t>Procedury wewnątrzszpitalne inne niż medyczne czynności ratunkowe.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Andres J. Wytyczne Resuscytacji 2015. Polska Rada Resuscytacji. Kraków 2016.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Hryniewiecki T.: Stany nagłe, Wydawnictwo Medical Tribune, Warszawa 2009.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Wołowicka L., Dyk D.: Anestezjologia i intensywna opieka - klinika i pielęgniarstwo. Podręcznik dla studiów medycznych, PZWL, 2014.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Atkinson P. et al: Medycyna ratunkowa, (red. wyd. pol. Jakubaszko J.), Wydawnictwo Medyczne Urban &amp; Partner, Wrocław 2012.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Flake F., Runggaldier K.: Ratownictwo medyczne: procedury od A do Z, (red. wyd. pol. Maślanka M.), Wydawnictwo Medyczne Elsevier Urban &amp; Partner, Wrocław 2012.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Gregory P., Mursell I., Diagnostyka i postępowanie w ratownictwie medycznym (red. wyd. pol. Smerka J.), Wydawnictwo Medyczne Górnicki, Wrocław 2013.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US"/>
              </w:rPr>
              <w:t>Weinert M., red. wyd. pol. Kubler A.: Crash Course – anestezjologia, Edra Urban &amp; Partner, 2016</w:t>
            </w:r>
          </w:p>
        </w:tc>
      </w:tr>
      <w:tr>
        <w:trPr>
          <w:trHeight w:val="330" w:hRule="atLeast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aseptyki i antyseptyki oraz higieny w procedurach w/szpitalnych.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C.W48,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C.W49,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C.W57,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C.W65,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C.W69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diagnozowania, oceny i monitorowania pacjentów w stanach zagrożenia w warunkach szpitalnych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C.W25,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C.W63,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zabezpieczania dróg oddechowych, prowadzenia wentylacji i tlenoterapii  oraz toalety drzewa oskrzelowego w tracheotomii i intubacji.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C.W48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C.W49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C.W57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C.W58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elektroterapii w stanach zagrożenia życia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C.W61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prowadzenia farmakoterapii i płynoterapii w stanach zagrożenia życia.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C.W65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C.W69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klasyfikacji pacjentów do intensywnej opieki oraz mechanizmy prowadzące do zagrożenia życia 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C.W17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C.W69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W_07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C.U04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Umiejętności(potrafi)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Ocenić stan pacjenta będącego w OAi IT.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C.U01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badanie przedmiotowe pacjenta w OAi IT.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C.U04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stna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C.U08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EKG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C.U13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Asystować przy czynnościach przygotowawczych do transplantacji  narządów.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C.U24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C.U37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Przywracać drożność dróg oddechowych metodami bezprzyrządowymi.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C.U39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U_10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C.U40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intubację dotchawiczą w laryngoskopii bezpośredniej i pośredniej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C.U41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wentylacje zastępczą z użyciem worka samorozprężalnego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C.U45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C.U46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C.U65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K1.3.1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K1.3.5</w:t>
            </w:r>
          </w:p>
        </w:tc>
      </w:tr>
      <w:tr>
        <w:trPr>
          <w:trHeight w:val="439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K1.3.6</w:t>
            </w:r>
          </w:p>
        </w:tc>
      </w:tr>
      <w:tr>
        <w:trPr>
          <w:trHeight w:val="439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praktykach zawodowych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lekarza/pielęgniarki systemu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Program przygotował/a: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66C0-D373-42EC-B1EF-3431BD9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Application>LibreOffice/7.4.0.3$Windows_X86_64 LibreOffice_project/f85e47c08ddd19c015c0114a68350214f7066f5a</Application>
  <AppVersion>15.0000</AppVersion>
  <Pages>3</Pages>
  <Words>842</Words>
  <Characters>5868</Characters>
  <CharactersWithSpaces>6537</CharactersWithSpaces>
  <Paragraphs>180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2022-09-03T21:04:05Z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