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5" w:rsidRDefault="008F4E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247D55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Choroby tropikalne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kliniczne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(20w.,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10 p.w.)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i mikrobiologia, Choroby zakaźne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Pr="00D71DBD" w:rsidRDefault="008F4E88" w:rsidP="00D71DBD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7D55" w:rsidRDefault="008F4E88">
            <w:pPr>
              <w:pStyle w:val="Default"/>
              <w:widowControl w:val="0"/>
              <w:spacing w:line="276" w:lineRule="auto"/>
            </w:pPr>
            <w:r>
              <w:t>Przedmiot obejmuje przedstawienie zagadnień dotyczących rozprzestrzenienia geograficznego, czynników ryzyka, objawów klinicznych, patomechanizmów, możliwości diagnostycznych oraz aktualnych metod zapobiegania i leczenia najczęściej występujących w Polsce i na świecie tropikalnych chorób zakaźnych i pasożytniczych, ze szczególnym uwzględnieniem aktualnych zagrożeń zdrowotnych w międzynarodowym ruchu turystycznym.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Przekazanie wiedzy na temat wybranych chorób tropikalnych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Utrwalenie wiadomości zdobytych podczas wykładów.</w:t>
            </w:r>
          </w:p>
          <w:p w:rsidR="00247D55" w:rsidRDefault="008F4E88">
            <w:pPr>
              <w:pStyle w:val="NormalnyWeb"/>
              <w:widowControl w:val="0"/>
              <w:numPr>
                <w:ilvl w:val="0"/>
                <w:numId w:val="2"/>
              </w:numPr>
              <w:spacing w:before="280" w:after="0" w:line="360" w:lineRule="auto"/>
            </w:pPr>
            <w:r>
              <w:t>Najczęściej występujące choroby tropikalne.</w:t>
            </w:r>
          </w:p>
          <w:p w:rsidR="00247D55" w:rsidRDefault="008F4E88">
            <w:pPr>
              <w:pStyle w:val="NormalnyWeb"/>
              <w:widowControl w:val="0"/>
              <w:numPr>
                <w:ilvl w:val="0"/>
                <w:numId w:val="2"/>
              </w:numPr>
              <w:spacing w:after="0" w:line="360" w:lineRule="auto"/>
            </w:pPr>
            <w:r>
              <w:t>Przyswojenie zasad rozpoznawania wybranych chorób tropikalnych,</w:t>
            </w:r>
          </w:p>
          <w:p w:rsidR="00247D55" w:rsidRDefault="008F4E88">
            <w:pPr>
              <w:pStyle w:val="NormalnyWeb"/>
              <w:widowControl w:val="0"/>
              <w:numPr>
                <w:ilvl w:val="0"/>
                <w:numId w:val="2"/>
              </w:numPr>
              <w:spacing w:after="0" w:line="360" w:lineRule="auto"/>
            </w:pPr>
            <w:r>
              <w:t>Przyswojenie zasad postępowania w stanach zagrożenia życia w chorobach tropikalnych</w:t>
            </w:r>
          </w:p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W_07  oraz U_ 01 – U_04   będą sprawdzane na  zaliczeniach  pisemnych, testowych,</w:t>
            </w:r>
          </w:p>
          <w:p w:rsidR="00247D55" w:rsidRDefault="008F4E88">
            <w:pPr>
              <w:pStyle w:val="Default"/>
              <w:widowControl w:val="0"/>
            </w:pPr>
            <w:r>
              <w:t>w trakcie seminariów   na podstawie aktywności i zaangażowania studenta, ocenę prezentacji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K_02 będą sprawdzane w trakcie seminariów podczas dyskusji i sposobu rozwiązania problemów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(zaliczenie na ocenę)</w:t>
            </w:r>
          </w:p>
          <w:p w:rsidR="00247D55" w:rsidRPr="007D0B99" w:rsidRDefault="008F4E88" w:rsidP="007D0B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Zajęcia zakończone są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zaliczeniem na ocenę</w:t>
            </w:r>
            <w:r>
              <w:rPr>
                <w:rFonts w:ascii="Times New Roman" w:hAnsi="Times New Roman"/>
                <w:sz w:val="24"/>
                <w:szCs w:val="24"/>
              </w:rPr>
              <w:t>, na podstawie obowiązkowej obecności i zaangażowania w pracy oraz wyników testu końcowego,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seminaria:</w:t>
            </w:r>
            <w:r>
              <w:rPr>
                <w:rFonts w:ascii="Times New Roman" w:hAnsi="Times New Roman"/>
                <w:sz w:val="24"/>
                <w:szCs w:val="24"/>
              </w:rPr>
              <w:t>Warunkiem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zaliczenia seminariów jest zaliczenie materiału zaprezentowanego na seminariach, uzupełnionego  wiedzą z literatury oraz oceny z prezentacji multimedialnych,  aktywność oceniana  na bieżąco.</w:t>
            </w:r>
          </w:p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Ocena końcowa jest średnią oceny z seminariów i wykładów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 w:rsidR="00247D55" w:rsidRDefault="00247D55">
            <w:pPr>
              <w:pStyle w:val="Tekstpodstawowy"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47D55" w:rsidRDefault="008F4E88">
            <w:pPr>
              <w:pStyle w:val="Default"/>
              <w:widowControl w:val="0"/>
            </w:pPr>
            <w:r>
              <w:t>1. Egzotyczne choroby pasożytnicze i zakaźne importowane do Polski z obszarów odmiennej strefy klimatyczno-środowiskowej i sanitarno-higienicznej o gwałtownym przebiegu klinicznym, bezpośrednio zagrażające życiu lub stanowiące potencjalne zagrożenie epidemiologiczne, ze szczególnym uwzględnieniem malarii, dengi i innych wirusowych gorączek krwotocznych.</w:t>
            </w:r>
          </w:p>
          <w:p w:rsidR="00247D55" w:rsidRDefault="008F4E88">
            <w:pPr>
              <w:pStyle w:val="Default"/>
              <w:widowControl w:val="0"/>
            </w:pPr>
            <w:r>
              <w:t xml:space="preserve">2. Zespoły chorobowe przebiegające z </w:t>
            </w:r>
            <w:proofErr w:type="spellStart"/>
            <w:r>
              <w:t>hepatosplenomegalią</w:t>
            </w:r>
            <w:proofErr w:type="spellEnd"/>
            <w:r>
              <w:t xml:space="preserve"> (malaria, leiszmanioza trzewna, </w:t>
            </w:r>
            <w:proofErr w:type="spellStart"/>
            <w:r>
              <w:t>schistosomoza</w:t>
            </w:r>
            <w:proofErr w:type="spellEnd"/>
            <w:r>
              <w:t>, pełzakowica pozajelitowa</w:t>
            </w:r>
            <w:r w:rsidR="007D0B99">
              <w:t>)</w:t>
            </w:r>
            <w:r>
              <w:t>,</w:t>
            </w:r>
          </w:p>
          <w:p w:rsidR="00247D55" w:rsidRDefault="008F4E88">
            <w:pPr>
              <w:pStyle w:val="Default"/>
              <w:widowControl w:val="0"/>
            </w:pPr>
            <w:r>
              <w:t>3. Metody profilaktyki zdrowotnej przy wyjeździe do krajów strefy międzyzwrotnikowej, subtropikalnej i śródziemnomorskiej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Wybrane choroby tropikalne:</w:t>
            </w:r>
          </w:p>
          <w:p w:rsidR="00247D55" w:rsidRDefault="008F4E88">
            <w:pPr>
              <w:pStyle w:val="NormalnyWeb"/>
              <w:widowControl w:val="0"/>
              <w:spacing w:before="280"/>
            </w:pPr>
            <w:r>
              <w:t xml:space="preserve">1). Malaria, leiszmaniozy, </w:t>
            </w:r>
            <w:proofErr w:type="spellStart"/>
            <w:r>
              <w:t>trypanosomozy</w:t>
            </w:r>
            <w:proofErr w:type="spellEnd"/>
          </w:p>
          <w:p w:rsidR="00247D55" w:rsidRDefault="008F4E88">
            <w:pPr>
              <w:pStyle w:val="NormalnyWeb"/>
              <w:widowControl w:val="0"/>
              <w:spacing w:before="280"/>
            </w:pPr>
            <w:r>
              <w:t>2). Wirusowe gorączki krwotoczne</w:t>
            </w:r>
          </w:p>
          <w:p w:rsidR="00247D55" w:rsidRDefault="008F4E88">
            <w:pPr>
              <w:pStyle w:val="NormalnyWeb"/>
              <w:widowControl w:val="0"/>
              <w:spacing w:before="280"/>
            </w:pPr>
            <w:r>
              <w:t xml:space="preserve">3). </w:t>
            </w:r>
            <w:proofErr w:type="spellStart"/>
            <w:r>
              <w:t>Schistosomozy</w:t>
            </w:r>
            <w:proofErr w:type="spellEnd"/>
            <w:r>
              <w:t xml:space="preserve"> i zarażenia innymi przywrami, filariozy, zespół larwy wędrującej skórnej, </w:t>
            </w:r>
            <w:proofErr w:type="spellStart"/>
            <w:r>
              <w:t>tungiaza</w:t>
            </w:r>
            <w:proofErr w:type="spellEnd"/>
            <w:r>
              <w:rPr>
                <w:i/>
                <w:color w:val="464E56"/>
                <w:shd w:val="clear" w:color="auto" w:fill="FFFFFF"/>
              </w:rPr>
              <w:t>(</w:t>
            </w:r>
            <w:proofErr w:type="spellStart"/>
            <w:r>
              <w:rPr>
                <w:i/>
                <w:color w:val="464E56"/>
                <w:shd w:val="clear" w:color="auto" w:fill="FFFFFF"/>
              </w:rPr>
              <w:t>Tungapenetrans</w:t>
            </w:r>
            <w:proofErr w:type="spellEnd"/>
            <w:r>
              <w:rPr>
                <w:i/>
                <w:color w:val="464E56"/>
                <w:shd w:val="clear" w:color="auto" w:fill="FFFFFF"/>
              </w:rPr>
              <w:t>)</w:t>
            </w:r>
          </w:p>
          <w:p w:rsidR="00247D55" w:rsidRDefault="008F4E88">
            <w:pPr>
              <w:pStyle w:val="NormalnyWeb"/>
              <w:widowControl w:val="0"/>
              <w:spacing w:before="280"/>
            </w:pPr>
            <w:r>
              <w:t xml:space="preserve">4). Cholera, dur brzuszny i dury rzekome, pełzakowica, </w:t>
            </w:r>
            <w:proofErr w:type="spellStart"/>
            <w:r>
              <w:t>anizakioza</w:t>
            </w:r>
            <w:proofErr w:type="spellEnd"/>
            <w:r>
              <w:t>, biegunka podróżników</w:t>
            </w:r>
          </w:p>
          <w:p w:rsidR="00247D55" w:rsidRDefault="008F4E88">
            <w:pPr>
              <w:pStyle w:val="NormalnyWeb"/>
              <w:widowControl w:val="0"/>
              <w:spacing w:before="280"/>
            </w:pPr>
            <w:r>
              <w:t xml:space="preserve">5). Trąd, owrzodzenie </w:t>
            </w:r>
            <w:proofErr w:type="spellStart"/>
            <w:r>
              <w:t>Buruli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color w:val="464E56"/>
                <w:shd w:val="clear" w:color="auto" w:fill="FFFFFF"/>
              </w:rPr>
              <w:t>Mycobacterium</w:t>
            </w:r>
            <w:proofErr w:type="spellEnd"/>
            <w:r>
              <w:rPr>
                <w:i/>
                <w:color w:val="464E56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464E56"/>
                <w:shd w:val="clear" w:color="auto" w:fill="FFFFFF"/>
              </w:rPr>
              <w:t>ulcerans</w:t>
            </w:r>
            <w:proofErr w:type="spellEnd"/>
            <w:r>
              <w:rPr>
                <w:color w:val="464E56"/>
                <w:shd w:val="clear" w:color="auto" w:fill="FFFFFF"/>
              </w:rPr>
              <w:t>)</w:t>
            </w:r>
            <w:r>
              <w:t xml:space="preserve">, dżuma, </w:t>
            </w:r>
            <w:proofErr w:type="spellStart"/>
            <w:r>
              <w:t>melioidoza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color w:val="464E56"/>
                <w:shd w:val="clear" w:color="auto" w:fill="FFFFFF"/>
              </w:rPr>
              <w:t>Burkholderia</w:t>
            </w:r>
            <w:proofErr w:type="spellEnd"/>
            <w:r>
              <w:rPr>
                <w:i/>
                <w:color w:val="464E56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i/>
                <w:color w:val="464E56"/>
                <w:shd w:val="clear" w:color="auto" w:fill="FFFFFF"/>
              </w:rPr>
              <w:t>pseudomallei</w:t>
            </w:r>
            <w:proofErr w:type="spellEnd"/>
            <w:r>
              <w:rPr>
                <w:color w:val="464E56"/>
                <w:shd w:val="clear" w:color="auto" w:fill="FFFFFF"/>
              </w:rPr>
              <w:t>)</w:t>
            </w:r>
          </w:p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seminaria:</w:t>
            </w:r>
          </w:p>
          <w:p w:rsidR="00247D55" w:rsidRDefault="008F4E88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ind w:left="204" w:hanging="2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wirusowe i  pasożytnicze człowieka wywoływane przez pasożyty wewnętrzne (pierwotniaki, przywry, nicienie, główne objawy kliniczne, postać inwazyjna, metody diagnostyczne, profilaktyka,</w:t>
            </w:r>
          </w:p>
          <w:p w:rsidR="00247D55" w:rsidRDefault="008F4E88">
            <w:pPr>
              <w:pStyle w:val="Tekstpodstawowy"/>
              <w:widowControl w:val="0"/>
              <w:numPr>
                <w:ilvl w:val="0"/>
                <w:numId w:val="3"/>
              </w:numPr>
              <w:spacing w:line="276" w:lineRule="auto"/>
              <w:ind w:left="346" w:hanging="34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Chorobotwórcze wirusy dengi i innych wirusowych gorączek krwotocznych</w:t>
            </w:r>
            <w:r>
              <w:rPr>
                <w:sz w:val="24"/>
              </w:rPr>
              <w:t>.</w:t>
            </w:r>
          </w:p>
          <w:p w:rsidR="00247D55" w:rsidRDefault="008F4E88">
            <w:pPr>
              <w:pStyle w:val="Tekstpodstawowy"/>
              <w:widowControl w:val="0"/>
              <w:numPr>
                <w:ilvl w:val="0"/>
                <w:numId w:val="3"/>
              </w:numPr>
              <w:spacing w:line="276" w:lineRule="auto"/>
              <w:ind w:left="346" w:hanging="346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 xml:space="preserve">Pasożyty krwi i innych tkanek i narządów człowieka strefy tropikalnej i subtropikalnej, powodujące groźne choroby zawlekane do Polski -  pierwotniaki, wywołujące malarie, leiszmaniozy i </w:t>
            </w:r>
            <w:proofErr w:type="spellStart"/>
            <w:r>
              <w:rPr>
                <w:b w:val="0"/>
                <w:sz w:val="24"/>
              </w:rPr>
              <w:t>trypanosomozy</w:t>
            </w:r>
            <w:proofErr w:type="spellEnd"/>
            <w:r>
              <w:rPr>
                <w:b w:val="0"/>
                <w:sz w:val="24"/>
              </w:rPr>
              <w:t xml:space="preserve">: </w:t>
            </w:r>
            <w:proofErr w:type="spellStart"/>
            <w:r>
              <w:rPr>
                <w:b w:val="0"/>
                <w:i/>
                <w:sz w:val="24"/>
              </w:rPr>
              <w:t>Plasmodium</w:t>
            </w:r>
            <w:proofErr w:type="spellEnd"/>
            <w:r>
              <w:rPr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</w:rPr>
              <w:t>vivax</w:t>
            </w:r>
            <w:proofErr w:type="spellEnd"/>
            <w:r>
              <w:rPr>
                <w:b w:val="0"/>
                <w:i/>
                <w:sz w:val="24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</w:rPr>
              <w:t>P.falciparum</w:t>
            </w:r>
            <w:proofErr w:type="spellEnd"/>
            <w:r>
              <w:rPr>
                <w:b w:val="0"/>
                <w:i/>
                <w:sz w:val="24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</w:rPr>
              <w:t>Leishmania</w:t>
            </w:r>
            <w:proofErr w:type="spellEnd"/>
            <w:r>
              <w:rPr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</w:rPr>
              <w:t>tropica</w:t>
            </w:r>
            <w:proofErr w:type="spellEnd"/>
            <w:r>
              <w:rPr>
                <w:b w:val="0"/>
                <w:i/>
                <w:sz w:val="24"/>
              </w:rPr>
              <w:t xml:space="preserve">, L. </w:t>
            </w:r>
            <w:proofErr w:type="spellStart"/>
            <w:r>
              <w:rPr>
                <w:b w:val="0"/>
                <w:i/>
                <w:sz w:val="24"/>
              </w:rPr>
              <w:t>donovani</w:t>
            </w:r>
            <w:proofErr w:type="spellEnd"/>
            <w:r>
              <w:rPr>
                <w:b w:val="0"/>
                <w:i/>
                <w:sz w:val="24"/>
              </w:rPr>
              <w:t>, Trypanosoma sp.</w:t>
            </w:r>
            <w:r>
              <w:rPr>
                <w:b w:val="0"/>
                <w:sz w:val="24"/>
              </w:rPr>
              <w:t>.</w:t>
            </w:r>
          </w:p>
          <w:p w:rsidR="00247D55" w:rsidRDefault="008F4E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Przywry krwi: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Schistosoma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haematobium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mansoni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japonicum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schistosomozy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D55" w:rsidRDefault="008F4E88">
            <w:pPr>
              <w:widowControl w:val="0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A9268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Zagrożenie inwazjami nicieniami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Wybrane filarie i filariozy człowieka, wywoływane przez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Wuchereria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bancrofti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Loa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loa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Onchocerca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volvulus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7D55" w:rsidRDefault="008F4E88">
            <w:pPr>
              <w:pStyle w:val="Tekstpodstawowy"/>
              <w:widowControl w:val="0"/>
              <w:spacing w:line="276" w:lineRule="auto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2. Rola owadów w transmisji chorób - jako wektorów biologicznych i mechanicznych.</w:t>
            </w:r>
          </w:p>
          <w:p w:rsidR="00247D55" w:rsidRDefault="008F4E88">
            <w:pPr>
              <w:pStyle w:val="Tekstpodstawowy"/>
              <w:widowControl w:val="0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Najczęstsze zagrożenia chorobami inwazyjnymi w czasie podróży.</w:t>
            </w:r>
          </w:p>
          <w:p w:rsidR="00247D55" w:rsidRDefault="008F4E88">
            <w:pPr>
              <w:pStyle w:val="Default"/>
              <w:widowControl w:val="0"/>
              <w:spacing w:line="276" w:lineRule="auto"/>
              <w:ind w:left="204" w:hanging="204"/>
            </w:pPr>
            <w:r>
              <w:t>4. Podstawy diagnostyki mikrobiologicznej i parazytologicznej, zasady pobierania materiału mikrobiologicznego i parazytologicznego;</w:t>
            </w:r>
          </w:p>
          <w:p w:rsidR="00247D55" w:rsidRDefault="008F4E8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Chory z gorączką po powrocie z tropików, diagnostyka różnicowa</w:t>
            </w:r>
          </w:p>
          <w:p w:rsidR="00247D55" w:rsidRDefault="008F4E8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Chory z biegunką po powrocie z tropików, diagnostyka różnicowa</w:t>
            </w:r>
          </w:p>
          <w:p w:rsidR="00247D55" w:rsidRDefault="007D0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F4E88">
              <w:rPr>
                <w:rFonts w:ascii="Times New Roman" w:hAnsi="Times New Roman"/>
              </w:rPr>
              <w:t>3)   Chory z neuroinfekcją po powrocie z tropików, diagnostyka różnicowa</w:t>
            </w:r>
          </w:p>
          <w:p w:rsidR="00247D55" w:rsidRDefault="007D0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F4E88">
              <w:rPr>
                <w:rFonts w:ascii="Times New Roman" w:hAnsi="Times New Roman"/>
              </w:rPr>
              <w:t>4)   Chory z parazytozą tkankową po powrocie z tropików, diagnostyka różnicowa</w:t>
            </w:r>
          </w:p>
          <w:p w:rsidR="00247D55" w:rsidRDefault="007D0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92682">
              <w:rPr>
                <w:rFonts w:ascii="Times New Roman" w:hAnsi="Times New Roman"/>
              </w:rPr>
              <w:t xml:space="preserve"> </w:t>
            </w:r>
            <w:r w:rsidR="008F4E88">
              <w:rPr>
                <w:rFonts w:ascii="Times New Roman" w:hAnsi="Times New Roman"/>
              </w:rPr>
              <w:t>5)  Chory ze zmianami skórnymi po powrocie z tropików, diagnostyka różnicowa.</w:t>
            </w:r>
          </w:p>
          <w:p w:rsidR="00247D55" w:rsidRDefault="00247D55">
            <w:pPr>
              <w:pStyle w:val="Default"/>
              <w:widowControl w:val="0"/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247D55" w:rsidRDefault="008F4E88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Flisiak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 (red.): Choroby zakaźne i pasożytnicze, tom 1-4, Wydawnictwo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Czelej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Lublin, 2020</w:t>
            </w:r>
          </w:p>
          <w:p w:rsidR="00247D55" w:rsidRDefault="008F4E8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Korzeniewski K: Medycyna podróży kompendium, PZWL, Warszawa, 2015</w:t>
            </w:r>
          </w:p>
          <w:p w:rsidR="00247D55" w:rsidRDefault="008F4E88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/>
              <w:ind w:left="317" w:hanging="3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Kasper D.L,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Fauci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A.S, (red.)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Harrison : Choroby zakaźne, tom 1-2. Wydawnictwo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Czelej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Lublin 2012</w:t>
            </w:r>
          </w:p>
          <w:p w:rsidR="00247D55" w:rsidRDefault="008F4E88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46" w:hanging="346"/>
            </w:pPr>
            <w:proofErr w:type="spellStart"/>
            <w:r>
              <w:t>Morozińska-Gogol</w:t>
            </w:r>
            <w:proofErr w:type="spellEnd"/>
            <w:r>
              <w:t xml:space="preserve"> J. Parazytologia medyczna. Kompendium. Wydawnictwo Lekarskie PZWL, Warszawa 2016.</w:t>
            </w:r>
          </w:p>
          <w:p w:rsidR="00247D55" w:rsidRDefault="008F4E88">
            <w:pPr>
              <w:pStyle w:val="Default"/>
              <w:widowControl w:val="0"/>
              <w:numPr>
                <w:ilvl w:val="0"/>
                <w:numId w:val="4"/>
              </w:numPr>
              <w:ind w:left="317" w:hanging="284"/>
            </w:pPr>
            <w:r>
              <w:t>Pawłowski Z.S. i Stefaniak J. (red.). Parazytologia kliniczna w ujęciu wielodyscyplinarnym, PZWL, Warszawa, 2004.</w:t>
            </w:r>
          </w:p>
          <w:p w:rsidR="00247D55" w:rsidRDefault="008F4E88">
            <w:pPr>
              <w:pStyle w:val="Heading1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Autospacing="0" w:after="0" w:afterAutospacing="0"/>
              <w:ind w:left="317" w:hanging="284"/>
              <w:textAlignment w:val="baseline"/>
              <w:rPr>
                <w:b w:val="0"/>
                <w:color w:val="3091E9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Liberski P.P., Kozubski W., Katz M.</w:t>
            </w:r>
            <w:r w:rsidR="00A92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Choroby zakaźne układu nerwowego. </w:t>
            </w:r>
            <w:r>
              <w:rPr>
                <w:rStyle w:val="Hipercze"/>
                <w:b w:val="0"/>
                <w:color w:val="auto"/>
                <w:sz w:val="24"/>
                <w:szCs w:val="24"/>
                <w:u w:val="none"/>
              </w:rPr>
              <w:t>PZWL - Wydawnictwo Lekarskie. 2015.</w:t>
            </w:r>
          </w:p>
          <w:p w:rsidR="00247D55" w:rsidRDefault="008F4E88">
            <w:pPr>
              <w:pStyle w:val="Default"/>
              <w:widowControl w:val="0"/>
              <w:numPr>
                <w:ilvl w:val="0"/>
                <w:numId w:val="4"/>
              </w:numPr>
              <w:ind w:left="317" w:hanging="284"/>
            </w:pPr>
            <w:r>
              <w:t xml:space="preserve">Knap P., Myjak P. (red). Malaria w Polsce i na świecie - wczoraj i dziś. Wyd. II, Alfa - </w:t>
            </w:r>
            <w:proofErr w:type="spellStart"/>
            <w:r>
              <w:t>medicapress</w:t>
            </w:r>
            <w:proofErr w:type="spellEnd"/>
            <w:r>
              <w:t>, Bielsko-Biała, 2009</w:t>
            </w:r>
          </w:p>
          <w:p w:rsidR="00A92682" w:rsidRPr="00A92682" w:rsidRDefault="00A92682" w:rsidP="00A92682">
            <w:pPr>
              <w:pStyle w:val="Nagwek1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 </w:t>
            </w:r>
            <w:r w:rsidRPr="007B64A8">
              <w:rPr>
                <w:b w:val="0"/>
                <w:sz w:val="24"/>
                <w:szCs w:val="24"/>
              </w:rPr>
              <w:t>Solnica B., Diagnostyka laboratoryjna</w:t>
            </w:r>
            <w:r>
              <w:rPr>
                <w:b w:val="0"/>
                <w:sz w:val="24"/>
                <w:szCs w:val="24"/>
              </w:rPr>
              <w:t>.</w:t>
            </w:r>
            <w:r w:rsidRPr="007B64A8">
              <w:rPr>
                <w:b w:val="0"/>
                <w:sz w:val="24"/>
                <w:szCs w:val="24"/>
              </w:rPr>
              <w:t xml:space="preserve"> </w:t>
            </w:r>
            <w:r w:rsidRPr="007B64A8">
              <w:rPr>
                <w:rStyle w:val="value"/>
                <w:b w:val="0"/>
                <w:sz w:val="24"/>
                <w:szCs w:val="24"/>
              </w:rPr>
              <w:t>PZWL Wydawnictwo Lekarskie 2023,  wyd. 2</w:t>
            </w: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247D55" w:rsidRDefault="008F4E8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Cianciara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J., Juszczyk J. (red.). Choroby zakaźne i pasożytnicze.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Lublin, 2012.</w:t>
            </w:r>
          </w:p>
          <w:p w:rsidR="00247D55" w:rsidRDefault="008F4E88">
            <w:pPr>
              <w:pStyle w:val="Default"/>
              <w:widowControl w:val="0"/>
            </w:pPr>
            <w:r>
              <w:t>2.  Dziubek Z. (red.). Choroby zakaźne i pasożytnicze, PZWL, Warszawa, 2010.</w:t>
            </w:r>
          </w:p>
          <w:p w:rsidR="00247D55" w:rsidRDefault="008F4E88">
            <w:pPr>
              <w:pStyle w:val="Default"/>
              <w:widowControl w:val="0"/>
            </w:pPr>
            <w:r>
              <w:rPr>
                <w:color w:val="auto"/>
              </w:rPr>
              <w:t xml:space="preserve">3.  </w:t>
            </w:r>
            <w:r>
              <w:t>Buczek A. Atlas pasożytów człowieka. Wydawnictwo koliber, Lublin 2005.</w:t>
            </w:r>
          </w:p>
          <w:p w:rsidR="00247D55" w:rsidRDefault="008F4E88">
            <w:pPr>
              <w:pStyle w:val="Default"/>
              <w:widowControl w:val="0"/>
              <w:ind w:left="317" w:hanging="317"/>
            </w:pPr>
            <w:r>
              <w:t>4.  Dąbrowska-Szponar M., Garbacz K., Piechowicz L. Praktyczny atlas mikrobiologii, dla studentów kierunków medycznych. Gdański Uniwersytet Medyczny, Gdańsk 2011.</w:t>
            </w:r>
          </w:p>
          <w:p w:rsidR="00247D55" w:rsidRDefault="008F4E88">
            <w:pPr>
              <w:pStyle w:val="Default"/>
              <w:widowControl w:val="0"/>
              <w:ind w:left="317" w:hanging="317"/>
            </w:pPr>
            <w:r>
              <w:t xml:space="preserve">5. Deryło A. (red.) Parazytologia i </w:t>
            </w:r>
            <w:proofErr w:type="spellStart"/>
            <w:r>
              <w:t>akaroentomologia</w:t>
            </w:r>
            <w:proofErr w:type="spellEnd"/>
            <w:r>
              <w:t xml:space="preserve"> medyczna. Wydawnictwo Naukowe PWN, Warszawa 2002.</w:t>
            </w:r>
          </w:p>
          <w:p w:rsidR="00247D55" w:rsidRDefault="008F4E88">
            <w:pPr>
              <w:pStyle w:val="Default"/>
              <w:widowControl w:val="0"/>
              <w:ind w:left="317" w:hanging="317"/>
            </w:pPr>
            <w:r>
              <w:t xml:space="preserve">6. </w:t>
            </w:r>
            <w:proofErr w:type="spellStart"/>
            <w:r>
              <w:t>Heczko</w:t>
            </w:r>
            <w:proofErr w:type="spellEnd"/>
            <w:r>
              <w:t xml:space="preserve"> P.B., Wróblewska M, Pietrzyk A. (red.). Mikrobiologia lekarska. Wydawnictwo Lekarskie PZWL, Warszawa 2014.</w:t>
            </w:r>
          </w:p>
          <w:p w:rsidR="00247D55" w:rsidRDefault="008F4E88">
            <w:pPr>
              <w:pStyle w:val="Default"/>
              <w:widowControl w:val="0"/>
              <w:ind w:left="317" w:hanging="317"/>
            </w:pPr>
            <w:r>
              <w:t>7.  Pojmańska T. (red.) Leksykon parazytologiczny. Polskie Towarzystwo Parazytologiczne, Warszawa  2016.</w:t>
            </w:r>
          </w:p>
          <w:p w:rsidR="00247D55" w:rsidRDefault="00A92682">
            <w:pPr>
              <w:pStyle w:val="Default"/>
              <w:widowControl w:val="0"/>
              <w:ind w:left="317" w:hanging="317"/>
            </w:pPr>
            <w:r>
              <w:t>8</w:t>
            </w:r>
            <w:r w:rsidR="008F4E88">
              <w:t>.  Szewczyk E.M. (red.). Diagnostyka bakteriologiczna. Wydawnictwo Naukowe PWN, Warszawa 2013.</w:t>
            </w:r>
          </w:p>
          <w:p w:rsidR="00247D55" w:rsidRDefault="00A92682">
            <w:pPr>
              <w:pStyle w:val="Default"/>
              <w:widowControl w:val="0"/>
              <w:ind w:left="317" w:hanging="317"/>
            </w:pPr>
            <w:r>
              <w:t>9</w:t>
            </w:r>
            <w:r w:rsidR="008F4E88">
              <w:t>.  Szkaradkiewicz A. Mikrobiologia lekarska. Repetytorium z wirusologii. Wydawnictwo Naukowe Uniwersytetu Medycznego im. Karola Marcinkowskiego, Poznań 2014.</w:t>
            </w:r>
          </w:p>
          <w:p w:rsidR="00247D55" w:rsidRDefault="00A92682">
            <w:pPr>
              <w:pStyle w:val="Default"/>
              <w:widowControl w:val="0"/>
            </w:pPr>
            <w:r>
              <w:t>10</w:t>
            </w:r>
            <w:r w:rsidR="008F4E88">
              <w:t>. Zaremba M., Borowski J. Mikrobiologia lekarska. Wydawnictwo Lekarskie PZWL, Warszawa 2013.</w:t>
            </w:r>
          </w:p>
          <w:p w:rsidR="00247D55" w:rsidRDefault="008F4E88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677"/>
              <w:textAlignment w:val="baseline"/>
              <w:rPr>
                <w:rFonts w:ascii="inherit" w:hAnsi="inherit"/>
                <w:color w:val="201D1D"/>
                <w:sz w:val="27"/>
                <w:szCs w:val="27"/>
              </w:rPr>
            </w:pPr>
            <w:r>
              <w:rPr>
                <w:rFonts w:ascii="inherit" w:hAnsi="inherit"/>
                <w:color w:val="201D1D"/>
                <w:sz w:val="27"/>
                <w:szCs w:val="27"/>
              </w:rPr>
              <w:t>Zdzisław Gliński, </w:t>
            </w:r>
            <w:r>
              <w:rPr>
                <w:rStyle w:val="Uwydatnienie"/>
                <w:rFonts w:ascii="inherit" w:hAnsi="inherit"/>
                <w:color w:val="201D1D"/>
                <w:sz w:val="27"/>
                <w:szCs w:val="27"/>
              </w:rPr>
              <w:t>Denga zagraża Polsce</w:t>
            </w:r>
            <w:r>
              <w:rPr>
                <w:rFonts w:ascii="inherit" w:hAnsi="inherit"/>
                <w:color w:val="201D1D"/>
                <w:sz w:val="27"/>
                <w:szCs w:val="27"/>
              </w:rPr>
              <w:t>, Życie Weterynaryjne, 2019, 94(12).</w:t>
            </w:r>
          </w:p>
          <w:p w:rsidR="00247D55" w:rsidRDefault="008F4E88">
            <w:pPr>
              <w:pStyle w:val="Default"/>
              <w:widowControl w:val="0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Strony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internetowe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:rsidR="00247D55" w:rsidRDefault="008F4E8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 Centers for Disease Control and Prevention: http://www.cdc.gov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 (absolwent zna/wie/umie/potrafi)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4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rPr>
                <w:color w:val="FF0000"/>
              </w:rPr>
            </w:pPr>
            <w:r>
              <w:t>Zna uwarunkowania środowiskowe i epidemiologiczne najczęstszych chorób tropikalnych.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C.W85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ind w:left="-79" w:firstLine="79"/>
              <w:rPr>
                <w:sz w:val="20"/>
                <w:szCs w:val="20"/>
              </w:rPr>
            </w:pPr>
            <w:r>
              <w:rPr>
                <w:rFonts w:ascii="Book Antiqua" w:hAnsi="Book Antiqua"/>
              </w:rPr>
              <w:t>Zna najczęstsze choroby zakaźne wieku dziecięcego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rPr>
                <w:bCs/>
              </w:rPr>
              <w:t>C.W4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zasady badania podmiotowego w zakresie niezbędnym do prowadzenia medycznych czynności ratunkowych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247D55">
            <w:pPr>
              <w:pStyle w:val="Default"/>
              <w:widowControl w:val="0"/>
              <w:jc w:val="center"/>
            </w:pPr>
          </w:p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12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zasady badania przedmiotowego w zakresie niezbędnym do prowadzenia medycznych czynności ratunkowych i udzielania świadczeń zdrowotnych innych niż medyczne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czynnościratunkowe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55" w:rsidRDefault="008F4E8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C.W25.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7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</w:pPr>
            <w:r>
              <w:t>Określa sposoby postępowania terapeutycznego w ostrych stanach klinicznych u dorosłych i dzieci.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t>C.W24, C.W25,</w:t>
            </w:r>
          </w:p>
          <w:p w:rsidR="00247D55" w:rsidRDefault="008F4E88">
            <w:pPr>
              <w:pStyle w:val="Default"/>
              <w:widowControl w:val="0"/>
              <w:jc w:val="center"/>
            </w:pPr>
            <w:r>
              <w:t>C.W85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82">
              <w:rPr>
                <w:rFonts w:ascii="Book Antiqua" w:hAnsi="Book Antiqua"/>
                <w:bCs/>
              </w:rPr>
              <w:t xml:space="preserve">zna </w:t>
            </w:r>
            <w:r>
              <w:rPr>
                <w:rFonts w:ascii="Book Antiqua" w:hAnsi="Book Antiqua"/>
              </w:rPr>
              <w:t>przyczyny, objawy, zasady diagnozowania i postępowania profilaktycznego w najczęstszych chorobach bakteryjnych, wirusowych, pasożytniczych.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t>C.W24, C.W25,</w:t>
            </w:r>
          </w:p>
          <w:p w:rsidR="00247D55" w:rsidRDefault="008F4E88">
            <w:pPr>
              <w:pStyle w:val="Default"/>
              <w:widowControl w:val="0"/>
              <w:jc w:val="center"/>
            </w:pPr>
            <w:r>
              <w:t>C.W34, C.W85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rPr>
                <w:rFonts w:ascii="Book Antiqua" w:hAnsi="Book Antiqua"/>
                <w:bCs/>
              </w:rPr>
              <w:t>C.W38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247D5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247D5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247D5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 (absolwent potrafi)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247D55">
            <w:pPr>
              <w:pStyle w:val="Default"/>
              <w:widowControl w:val="0"/>
              <w:rPr>
                <w:sz w:val="20"/>
                <w:szCs w:val="20"/>
              </w:rPr>
            </w:pPr>
          </w:p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przeprowadzać badanie przedmiotowe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rPr>
                <w:bCs/>
              </w:rPr>
              <w:t>C.U03.</w:t>
            </w:r>
            <w:r>
              <w:t xml:space="preserve"> C.U04,</w:t>
            </w:r>
          </w:p>
          <w:p w:rsidR="00247D55" w:rsidRDefault="008F4E88">
            <w:pPr>
              <w:pStyle w:val="Default"/>
              <w:widowControl w:val="0"/>
              <w:jc w:val="center"/>
            </w:pPr>
            <w:r>
              <w:t>C.U10, C.U25, C.U65, C.U66,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</w:pPr>
            <w:r>
              <w:t>Wdraża przedszpitalne procedury medyczne w stanach nagłego zagrożenia zdrowia i/lub życia osób dorosłych i/lub dzieci z podejrzeniem chorób tropikalnych.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t>C. U03,C.U10, C.U20,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8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przeprowadzać badanie fizykalne pacjenta dorosłego i/lub dziecka z podejrzeniem choroby tropikalnej w zakresie niezbędnym do ustalenia jego stanu   w celu ustalenia sposobu postępowania ratowniczego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rPr>
                <w:bCs/>
              </w:rPr>
              <w:t>C.U10</w:t>
            </w:r>
            <w:r>
              <w:t xml:space="preserve"> C.U65, C.U66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pobierać krew oraz zabezpieczać materiał do badań laboratoryjnych, mikrobiologicznych i toksykologicznych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C.U50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</w:pPr>
            <w:r>
              <w:t>Organizuje pracę własną, pracuje w zespole ratownictwa medycznego, rozwiązuje określone problemy zdrowotne pacjenta/ poszkodowanego</w:t>
            </w:r>
          </w:p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  <w:jc w:val="center"/>
            </w:pPr>
            <w:r>
              <w:t>K.1.3.3, K.1.3.4, K.1.3.6.</w:t>
            </w:r>
          </w:p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pStyle w:val="Default"/>
              <w:widowControl w:val="0"/>
            </w:pPr>
            <w:r>
              <w:t>Rozumie potrzebę i posiada nawyk kontynuowania nauki przez całe życie zawodowe, w celu stałego uaktualniania wiedzy i doskonalenia umiejętności zawodowych aktualizuje wiedzę i doskonali umiejętności zawodowe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K.1.3.5, K.1.3.6,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 w:rsidR="00247D55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247D55" w:rsidRDefault="00247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55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D55" w:rsidRDefault="00247D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(prezentacji multimedialnych, 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  <w:tr w:rsidR="00247D55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55" w:rsidRDefault="008F4E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1.10.2023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5" w:rsidRDefault="008F4E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opracował/a: </w:t>
            </w:r>
          </w:p>
        </w:tc>
        <w:tc>
          <w:tcPr>
            <w:tcW w:w="7373" w:type="dxa"/>
          </w:tcPr>
          <w:p w:rsidR="00247D55" w:rsidRDefault="00247D55">
            <w:pPr>
              <w:widowControl w:val="0"/>
            </w:pPr>
          </w:p>
        </w:tc>
        <w:tc>
          <w:tcPr>
            <w:tcW w:w="1681" w:type="dxa"/>
          </w:tcPr>
          <w:p w:rsidR="00247D55" w:rsidRDefault="00247D55">
            <w:pPr>
              <w:widowControl w:val="0"/>
            </w:pPr>
          </w:p>
        </w:tc>
        <w:tc>
          <w:tcPr>
            <w:tcW w:w="9052" w:type="dxa"/>
          </w:tcPr>
          <w:p w:rsidR="00247D55" w:rsidRDefault="00247D55">
            <w:pPr>
              <w:widowControl w:val="0"/>
            </w:pPr>
          </w:p>
        </w:tc>
      </w:tr>
    </w:tbl>
    <w:p w:rsidR="00247D55" w:rsidRDefault="00247D55">
      <w:pPr>
        <w:spacing w:line="240" w:lineRule="auto"/>
        <w:jc w:val="right"/>
        <w:rPr>
          <w:i/>
          <w:sz w:val="24"/>
          <w:szCs w:val="24"/>
        </w:rPr>
      </w:pPr>
    </w:p>
    <w:p w:rsidR="00247D55" w:rsidRDefault="00247D55"/>
    <w:sectPr w:rsidR="00247D55" w:rsidSect="00247D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D7F03"/>
    <w:multiLevelType w:val="multilevel"/>
    <w:tmpl w:val="F1EEE5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F42820"/>
    <w:multiLevelType w:val="multilevel"/>
    <w:tmpl w:val="F646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F1894"/>
    <w:multiLevelType w:val="multilevel"/>
    <w:tmpl w:val="1BF4C65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975CB"/>
    <w:multiLevelType w:val="multilevel"/>
    <w:tmpl w:val="99002C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453A6"/>
    <w:multiLevelType w:val="multilevel"/>
    <w:tmpl w:val="B1103D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5C8B1046"/>
    <w:multiLevelType w:val="multilevel"/>
    <w:tmpl w:val="F4588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FF16F67"/>
    <w:multiLevelType w:val="multilevel"/>
    <w:tmpl w:val="960E1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247D55"/>
    <w:rsid w:val="00247D55"/>
    <w:rsid w:val="007D0B99"/>
    <w:rsid w:val="008F4E88"/>
    <w:rsid w:val="00A92682"/>
    <w:rsid w:val="00C82A9D"/>
    <w:rsid w:val="00D71DBD"/>
    <w:rsid w:val="00F6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82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Tekstpodstawowy"/>
    <w:link w:val="Nagwek1Znak1"/>
    <w:qFormat/>
    <w:rsid w:val="00C82A9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8E1F2A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51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citation">
    <w:name w:val="citation"/>
    <w:basedOn w:val="Domylnaczcionkaakapitu"/>
    <w:qFormat/>
    <w:rsid w:val="0037068B"/>
  </w:style>
  <w:style w:type="character" w:customStyle="1" w:styleId="Nagwek1Znak">
    <w:name w:val="Nagłówek 1 Znak"/>
    <w:basedOn w:val="Domylnaczcionkaakapitu"/>
    <w:link w:val="Heading1"/>
    <w:uiPriority w:val="9"/>
    <w:qFormat/>
    <w:rsid w:val="008E1F2A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67F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1C62AC"/>
    <w:rPr>
      <w:i/>
      <w:iCs/>
    </w:rPr>
  </w:style>
  <w:style w:type="paragraph" w:styleId="Nagwek">
    <w:name w:val="header"/>
    <w:basedOn w:val="Normalny"/>
    <w:next w:val="Tekstpodstawowy"/>
    <w:qFormat/>
    <w:rsid w:val="00247D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5191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Lista">
    <w:name w:val="List"/>
    <w:basedOn w:val="Tekstpodstawowy"/>
    <w:rsid w:val="00247D55"/>
    <w:rPr>
      <w:rFonts w:cs="Arial"/>
    </w:rPr>
  </w:style>
  <w:style w:type="paragraph" w:customStyle="1" w:styleId="Caption">
    <w:name w:val="Caption"/>
    <w:basedOn w:val="Normalny"/>
    <w:qFormat/>
    <w:rsid w:val="00247D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D5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4E82"/>
    <w:pPr>
      <w:ind w:left="720"/>
      <w:contextualSpacing/>
    </w:pPr>
  </w:style>
  <w:style w:type="paragraph" w:customStyle="1" w:styleId="Default">
    <w:name w:val="Default"/>
    <w:qFormat/>
    <w:rsid w:val="00134E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C06B09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 w:bidi="pa-IN"/>
    </w:rPr>
  </w:style>
  <w:style w:type="paragraph" w:customStyle="1" w:styleId="card-text">
    <w:name w:val="card-text"/>
    <w:basedOn w:val="Normalny"/>
    <w:qFormat/>
    <w:rsid w:val="008E1F2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rsid w:val="00C82A9D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key">
    <w:name w:val="key"/>
    <w:basedOn w:val="Domylnaczcionkaakapitu"/>
    <w:rsid w:val="00C82A9D"/>
  </w:style>
  <w:style w:type="character" w:customStyle="1" w:styleId="value">
    <w:name w:val="value"/>
    <w:basedOn w:val="Domylnaczcionkaakapitu"/>
    <w:rsid w:val="00C82A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F0CB-AEC5-411A-A6C1-A1BBE089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24</cp:revision>
  <cp:lastPrinted>2021-10-07T08:26:00Z</cp:lastPrinted>
  <dcterms:created xsi:type="dcterms:W3CDTF">2021-08-27T09:55:00Z</dcterms:created>
  <dcterms:modified xsi:type="dcterms:W3CDTF">2023-09-09T10:57:00Z</dcterms:modified>
  <dc:language>pl-PL</dc:language>
</cp:coreProperties>
</file>