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Sylabus przedmiotu</w:t>
      </w:r>
    </w:p>
    <w:tbl>
      <w:tblPr>
        <w:tblW w:w="284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993"/>
        <w:gridCol w:w="3543"/>
        <w:gridCol w:w="2835"/>
        <w:gridCol w:w="1680"/>
        <w:gridCol w:w="7373"/>
        <w:gridCol w:w="1681"/>
        <w:gridCol w:w="9052"/>
      </w:tblGrid>
      <w:tr>
        <w:trPr>
          <w:trHeight w:val="1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Bioterroryzm jako szczególny rodzaj terroryzmu.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6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uczelni, przedmiot do wyboru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pierwszy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(10 w., 10 sem., 5 p.w.)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i mikrobiologia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7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Założenia i cele uczenia się: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Przekazanie podstawowej wiedzy nt. bioterroryzmu i terroryzmu, biologicznych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czynników masowego rażenia.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>
              <w:rPr>
                <w:rFonts w:ascii="Times New Roman" w:hAnsi="Times New Roman"/>
                <w:sz w:val="24"/>
                <w:szCs w:val="24"/>
              </w:rPr>
              <w:t>: Zapoznanie rodzajami terroryzmu, z pojęciem bioterroryzmu, klasyfikacją drobnoustrojów CDC. Postępowanie w sytuacji zdarzeń terrorystycznych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Ćwiczenia: </w:t>
            </w:r>
            <w:r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Sposoby weryfikacji efektów uczenia się osiąganych przez studenta: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Efekty: W_01 – W_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  oraz U_ 01 – U_04 będą sprawdzane podczas  zaprezentowanych   przez studentów  treści merytorycznych na określony temat – forma przekazu określona przez grupę np. prezentacja multimedialna, pogadanka, referat, odczyt) oraz na kolokwiach   pisemnych.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K_02  będą sprawdzane podczas ćwiczeń, w trakcie pracy indywidualnej i grupowej, poprzez dyskusję oraz wyrażanie swoich opinii.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Przedłużona obserwacja przez nauczyciela prowadzącego.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>
            <w:pPr>
              <w:pStyle w:val="Default"/>
              <w:widowControl w:val="false"/>
              <w:rPr>
                <w:color w:val="FF0000"/>
              </w:rPr>
            </w:pPr>
            <w:r>
              <w:rPr>
                <w:b/>
              </w:rPr>
              <w:t>wykłady:</w:t>
            </w:r>
            <w:r>
              <w:rPr/>
              <w:t>Zaliczenie pisemne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zaliczenie pisemne, kolokwia pisemne,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obecność na zajęciach,  aktywność na zajęciach,</w:t>
            </w:r>
          </w:p>
          <w:p>
            <w:pPr>
              <w:pStyle w:val="Normal"/>
              <w:widowControl w:val="false"/>
              <w:spacing w:lineRule="auto" w:line="240" w:before="0" w:after="9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- uzyskanie co najmniej 51% liczby punktów za końcowy sprawdzian wiedzy.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wykłady;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Zagrożenie bronią biologiczną i bioterroryzmem.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Broń biologiczna.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Podział niebezpiecznych czynników biologicznych.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>Historia stosowania broni biologicznej.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Patogeny – wady i zalety z punktu widzenia terrorystów.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Zagrożenia płynące ze skażenia żywności, zagrożenia płynące ze skażenia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wody.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Schemat postępowania w przypadku zagrożenia bioterroryzmem.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Rodzaje i środki broni biologicznej.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Charakterystyka zakażenia różnymi czynnikami masowego rażenia.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Cs/>
                <w:sz w:val="24"/>
                <w:szCs w:val="24"/>
              </w:rPr>
              <w:t>Współczesne ataki bioterrorystyczne.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" w:hAnsi="Arial" w:eastAsia="Times New Roman" w:cs="Arial"/>
                <w:color w:val="444444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444444"/>
                <w:sz w:val="24"/>
                <w:szCs w:val="24"/>
                <w:lang w:eastAsia="pl-PL"/>
              </w:rPr>
              <w:t>Przypadki użycia broni biologicznej.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eastAsia="Times New Roman"/>
                <w:color w:val="35353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Skomra W., Zarządzanie kryzysowe - praktyczny przewodnik </w:t>
            </w: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>Wyd. Presscom</w:t>
            </w:r>
            <w:r>
              <w:rPr>
                <w:rFonts w:eastAsia="Times New Roman" w:ascii="Times New Roman" w:hAnsi="Times New Roman"/>
                <w:color w:val="353535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2016,</w:t>
            </w:r>
            <w:r>
              <w:rPr>
                <w:rFonts w:eastAsia="Times New Roman" w:ascii="Times New Roman" w:hAnsi="Times New Roman"/>
                <w:color w:val="353535"/>
                <w:sz w:val="24"/>
                <w:szCs w:val="24"/>
                <w:lang w:eastAsia="pl-PL"/>
              </w:rPr>
              <w:t xml:space="preserve"> Wydanie: </w:t>
            </w: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>Rysz S. J. Zarządzanie kryzysowe zintegrowane.</w:t>
            </w:r>
            <w:r>
              <w:rPr>
                <w:rFonts w:eastAsia="Times New Roman" w:ascii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Wydawnictwo</w:t>
            </w:r>
            <w:r>
              <w:rPr>
                <w:rFonts w:eastAsia="Times New Roman" w:ascii="Times New Roman" w:hAnsi="Times New Roman"/>
                <w:color w:val="8B837F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Difin, </w:t>
            </w:r>
            <w:r>
              <w:rPr>
                <w:rFonts w:eastAsia="Times New Roman" w:ascii="Times New Roman" w:hAnsi="Times New Roman"/>
                <w:color w:val="222222"/>
                <w:sz w:val="24"/>
                <w:szCs w:val="24"/>
                <w:lang w:eastAsia="pl-PL"/>
              </w:rPr>
              <w:t xml:space="preserve">Wydanie 2, 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>2020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lineRule="auto" w:line="240" w:before="0" w:after="0"/>
              <w:contextualSpacing/>
              <w:outlineLvl w:val="1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Gołębiewski J., </w:t>
            </w:r>
            <w:r>
              <w:rPr>
                <w:rFonts w:eastAsia="Times New Roman" w:ascii="Times New Roman" w:hAnsi="Times New Roman"/>
                <w:bCs/>
                <w:color w:val="252525"/>
                <w:kern w:val="2"/>
                <w:sz w:val="24"/>
                <w:szCs w:val="24"/>
                <w:lang w:eastAsia="pl-PL"/>
              </w:rPr>
              <w:t>Zarządzanie kryzysowe na szczeblu samorządowym.</w:t>
            </w:r>
            <w:r>
              <w:rPr>
                <w:rFonts w:eastAsia="Times New Roman" w:ascii="Times New Roman" w:hAnsi="Times New Roman"/>
                <w:color w:val="252525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Wydawnictwo Difin 2015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/>
            </w:pPr>
            <w:r>
              <w:rPr/>
              <w:t>Krajowy plan zarządzania kryzysowego, 2012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Style w:val="Czeinternetowe"/>
                <w:color w:val="000000"/>
                <w:u w:val="none"/>
              </w:rPr>
            </w:pPr>
            <w:r>
              <w:rPr>
                <w:bCs/>
                <w:color w:val="111111"/>
              </w:rPr>
              <w:t xml:space="preserve">Trzos A.,  Ratownictwo medyczne wobec współczesnych zagrożeń. </w:t>
            </w:r>
            <w:r>
              <w:rPr>
                <w:color w:val="000000"/>
                <w:shd w:fill="FFFFFF" w:val="clear"/>
              </w:rPr>
              <w:t xml:space="preserve">Elamed Media Group, </w:t>
            </w:r>
            <w:r>
              <w:rPr>
                <w:bCs/>
                <w:color w:val="111111"/>
              </w:rPr>
              <w:t>2019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rPr>
                <w:rStyle w:val="Czeinternetowe"/>
                <w:rFonts w:ascii="Times New Roman" w:hAnsi="Times New Roman"/>
                <w:color w:val="474747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color w:val="474747"/>
                <w:sz w:val="24"/>
                <w:szCs w:val="24"/>
              </w:rPr>
              <w:t xml:space="preserve">Cymerski J., Zubrzycki W., Aleksandrowicz T., Terroryzm działania antyterrorystyczne. Wyd. </w:t>
            </w:r>
            <w:r>
              <w:rPr>
                <w:rStyle w:val="Czeinternetowe"/>
                <w:rFonts w:ascii="Times New Roman" w:hAnsi="Times New Roman"/>
                <w:color w:val="474747"/>
                <w:sz w:val="24"/>
                <w:szCs w:val="24"/>
                <w:u w:val="none"/>
              </w:rPr>
              <w:t>Bellona, 2019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/>
                <w:color w:val="auto"/>
                <w:sz w:val="24"/>
                <w:szCs w:val="24"/>
                <w:u w:val="none"/>
              </w:rPr>
              <w:t>Gabriel-Węglowski</w:t>
            </w:r>
            <w:r>
              <w:rPr>
                <w:rStyle w:val="Czeinternetowe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Czeinternetowe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M.,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Działania antyterrorystyczne. Komentarz.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 xml:space="preserve"> Wyd.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 </w:t>
            </w:r>
            <w:hyperlink r:id="rId2" w:tgtFrame="Wyświetl wszystkie książki wydawcy Wolters Kluwer">
              <w:r>
                <w:rPr>
                  <w:rStyle w:val="Czeinternetow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fill="FFFFFF" w:val="clear"/>
                </w:rPr>
                <w:t>Wolters Kluwer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  <w:t> 2018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color w:val="474747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Dutkiewicz J., Śpiewak R., Jabłoński L., Szymańska J. Biologiczne czynniki zagrożenia zawodowego, 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Wydawca: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 Ad Punctum,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Wydanie: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 II, 2020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B. Michailiuk.:</w:t>
            </w:r>
            <w:r>
              <w:rPr>
                <w:rFonts w:eastAsia="Calibri" w:ascii="Times New Roman" w:hAnsi="Times New Roman" w:eastAsiaTheme="minorHAnsi"/>
                <w:iCs/>
                <w:color w:val="000000"/>
                <w:sz w:val="24"/>
                <w:szCs w:val="24"/>
              </w:rPr>
              <w:t>Broń biologiczna jako zagrożenie bez</w:t>
              <w:softHyphen/>
              <w:t>pieczeństwa państwa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, AON, Warszawa 2015,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/>
            </w:pPr>
            <w:r>
              <w:rPr/>
              <w:t xml:space="preserve"> </w:t>
            </w:r>
            <w:r>
              <w:rPr/>
              <w:t>Guła P.: Terroryzm a medycyna, ZiZ Kraków 2009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Chomiczewski K., Kocik J., Szkoda M.T.:Bioterroryzm. Zasady postępowania lekarskiego, PZWL, 2002r.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/>
            </w:pPr>
            <w:r>
              <w:rPr/>
              <w:t>Pawłowski J. (red);</w:t>
            </w:r>
            <w:r>
              <w:rPr>
                <w:iCs/>
              </w:rPr>
              <w:t>Terroryzm we współczesnym świecie</w:t>
            </w:r>
            <w:r>
              <w:rPr/>
              <w:t>. Warszawa 2001.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Style w:val="Czeinternetow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CzubaK i in.: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Bioterroryzm – zagrożenie, zasady postępowania, regulacje prawne</w:t>
            </w:r>
            <w:r>
              <w:rPr>
                <w:rFonts w:ascii="Times New Roman" w:hAnsi="Times New Roman"/>
                <w:sz w:val="24"/>
                <w:szCs w:val="24"/>
              </w:rPr>
              <w:t>. Biul. Wydz. Farm. WUM, 2011, 2, 28-33</w:t>
            </w:r>
            <w:r>
              <w:rPr>
                <w:rStyle w:val="Czeinternetowe"/>
                <w:rFonts w:ascii="Times New Roman" w:hAnsi="Times New Roman"/>
                <w:color w:val="000000"/>
                <w:sz w:val="24"/>
                <w:szCs w:val="24"/>
              </w:rPr>
              <w:t>http://biuletynfarmacji.wum.edu.pl/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Style w:val="Czeinternetowe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Czeinternetowe"/>
                <w:rFonts w:ascii="Times New Roman" w:hAnsi="Times New Roman"/>
                <w:color w:val="252525"/>
                <w:sz w:val="24"/>
                <w:szCs w:val="24"/>
                <w:u w:val="none"/>
              </w:rPr>
              <w:t>Yonah</w:t>
            </w:r>
            <w:r>
              <w:rPr>
                <w:rStyle w:val="Czeinternetowe"/>
                <w:rFonts w:ascii="Times New Roman" w:hAnsi="Times New Roman"/>
                <w:color w:val="252525"/>
                <w:u w:val="none"/>
              </w:rPr>
              <w:t xml:space="preserve"> A.,</w:t>
            </w:r>
            <w:r>
              <w:rPr>
                <w:rStyle w:val="Czeinternetowe"/>
                <w:rFonts w:ascii="Times New Roman" w:hAnsi="Times New Roman"/>
                <w:color w:val="252525"/>
              </w:rPr>
              <w:t xml:space="preserve"> </w:t>
            </w:r>
            <w:r>
              <w:rPr>
                <w:rStyle w:val="Czeinternetowe"/>
                <w:rFonts w:ascii="Times New Roman" w:hAnsi="Times New Roman"/>
                <w:color w:val="252525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252525"/>
                <w:shd w:fill="FFFFFF" w:val="clear"/>
              </w:rPr>
              <w:t>Superterroryzm. biologiczny, chemiczny i nuklearny, Wyd.</w:t>
            </w:r>
            <w:r>
              <w:rPr>
                <w:rFonts w:ascii="Times New Roman" w:hAnsi="Times New Roman"/>
                <w:color w:val="252525"/>
              </w:rPr>
              <w:t xml:space="preserve"> </w:t>
            </w:r>
            <w:r>
              <w:rPr>
                <w:rStyle w:val="Czeinternetowe"/>
                <w:rFonts w:ascii="Times New Roman" w:hAnsi="Times New Roman"/>
                <w:color w:val="252525"/>
                <w:sz w:val="24"/>
                <w:szCs w:val="24"/>
                <w:u w:val="none"/>
              </w:rPr>
              <w:t>Bellona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zeinternetowe"/>
                <w:rFonts w:ascii="Times New Roman" w:hAnsi="Times New Roman"/>
                <w:color w:val="252525"/>
                <w:sz w:val="24"/>
                <w:szCs w:val="24"/>
                <w:u w:val="none"/>
              </w:rPr>
              <w:t>I</w:t>
            </w:r>
            <w:r>
              <w:rPr>
                <w:rFonts w:ascii="Times New Roman" w:hAnsi="Times New Roman"/>
                <w:bCs/>
                <w:color w:val="8A8395"/>
                <w:sz w:val="24"/>
                <w:szCs w:val="24"/>
              </w:rPr>
              <w:t>ndecki</w:t>
            </w:r>
            <w:r>
              <w:rPr>
                <w:rFonts w:ascii="Times New Roman" w:hAnsi="Times New Roman"/>
                <w:color w:val="241B34"/>
                <w:sz w:val="24"/>
                <w:szCs w:val="24"/>
              </w:rPr>
              <w:t xml:space="preserve"> K., Przestępczość terrorystyczna, </w:t>
            </w:r>
            <w:r>
              <w:rPr>
                <w:rFonts w:ascii="Times New Roman" w:hAnsi="Times New Roman"/>
                <w:color w:val="8A8395"/>
                <w:sz w:val="24"/>
                <w:szCs w:val="24"/>
              </w:rPr>
              <w:t>Wyd. </w:t>
            </w:r>
            <w:hyperlink r:id="rId3">
              <w:r>
                <w:rPr>
                  <w:rStyle w:val="Czeinternetow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WIS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2006</w:t>
            </w:r>
          </w:p>
          <w:p>
            <w:pPr>
              <w:pStyle w:val="ListParagraph"/>
              <w:widowControl w:val="false"/>
              <w:ind w:left="92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spacing w:lineRule="auto" w:line="240" w:before="20" w:after="0"/>
              <w:ind w:left="257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uzupełniająca: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1. BBN: </w:t>
            </w:r>
            <w:r>
              <w:rPr>
                <w:iCs/>
              </w:rPr>
              <w:t xml:space="preserve">Strategia obrony przed terroryzmem (opracowanie), </w:t>
            </w:r>
            <w:r>
              <w:rPr/>
              <w:t>Warszawa 2009.</w:t>
            </w:r>
          </w:p>
          <w:p>
            <w:pPr>
              <w:pStyle w:val="Default"/>
              <w:widowControl w:val="false"/>
              <w:rPr/>
            </w:pPr>
            <w:r>
              <w:rPr/>
              <w:t>2. Hoffman B.:</w:t>
            </w:r>
            <w:r>
              <w:rPr>
                <w:iCs/>
              </w:rPr>
              <w:t>Oblicza terroryzmu</w:t>
            </w:r>
            <w:r>
              <w:rPr/>
              <w:t>, Warszawa 2001</w:t>
            </w:r>
          </w:p>
          <w:p>
            <w:pPr>
              <w:pStyle w:val="Default"/>
              <w:widowControl w:val="false"/>
              <w:rPr/>
            </w:pPr>
            <w:r>
              <w:rPr/>
              <w:t xml:space="preserve">3. Parzymies A.: (red.), </w:t>
            </w:r>
            <w:r>
              <w:rPr>
                <w:iCs/>
              </w:rPr>
              <w:t>Islam a terroryzm</w:t>
            </w:r>
            <w:r>
              <w:rPr/>
              <w:t>, Warszawa 2003.</w:t>
            </w:r>
          </w:p>
          <w:p>
            <w:pPr>
              <w:pStyle w:val="Default"/>
              <w:widowControl w:val="false"/>
              <w:rPr/>
            </w:pPr>
            <w:r>
              <w:rPr/>
              <w:t>4. Borucki M.:</w:t>
            </w:r>
            <w:r>
              <w:rPr>
                <w:iCs/>
              </w:rPr>
              <w:t>Terroryzm – zło naszych czasów</w:t>
            </w:r>
            <w:r>
              <w:rPr/>
              <w:t>, Warszawa 2002.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2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rodzaje i środki broni biologicznej oraz charakterystykę zakażenia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7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podział broni biologicznej z uwagi na wykorzystane czynniki chorobotwórcze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zagrożenie bronią biologiczną i bioterroryzmem</w:t>
            </w: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oraz skutki działania czynników biologicznych na ludzi i podaje zasady postępowania w skażeniach  różną drogą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5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</w:rPr>
            </w:pPr>
            <w:r>
              <w:rPr>
                <w:rFonts w:eastAsia="Calibri" w:ascii="Times New Roman" w:hAnsi="Times New Roman" w:eastAsiaTheme="minorHAnsi"/>
              </w:rPr>
              <w:t xml:space="preserve">Definiuje i opisuje zagadnienia terroryzmu żywnościowego oraz bioterroryzmu  opisuje podstawowe biologiczne 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czynniki masowego rażenia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B.U17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Potrafi identyfikować stresory w zawodzie ratownika medycznego i jest w stanie umiejętnie zastosować techniki radzenia sobie ze stresem.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tabs>
                <w:tab w:val="clear" w:pos="708"/>
                <w:tab w:val="left" w:pos="2253" w:leader="none"/>
                <w:tab w:val="left" w:pos="4016" w:leader="none"/>
                <w:tab w:val="left" w:pos="5206" w:leader="none"/>
                <w:tab w:val="left" w:pos="5597" w:leader="none"/>
                <w:tab w:val="left" w:pos="6831" w:leader="none"/>
                <w:tab w:val="left" w:pos="7903" w:leader="none"/>
                <w:tab w:val="left" w:pos="8702" w:leader="none"/>
              </w:tabs>
              <w:spacing w:before="137" w:after="0"/>
              <w:ind w:left="1304" w:right="560" w:hanging="1304"/>
              <w:rPr/>
            </w:pPr>
            <w:r>
              <w:rPr/>
              <w:t>Potrafi oceniać funkcjonowanie  człowieka w sytuacjach</w:t>
              <w:tab/>
              <w:t xml:space="preserve">trudnych (stres, </w:t>
            </w:r>
            <w:r>
              <w:rPr>
                <w:spacing w:val="-3"/>
              </w:rPr>
              <w:t xml:space="preserve">konflikt, </w:t>
            </w:r>
            <w:r>
              <w:rPr/>
              <w:t>frustracja);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eastAsiaTheme="minorHAnsi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0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8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/>
                <w:sz w:val="24"/>
                <w:szCs w:val="24"/>
              </w:rPr>
              <w:t>jest świadomy własnych ograniczeń w zakresie wykonywania procedur medycznych, wie kiedy zwrócić się do ekspertów.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ascii="Times New Roman" w:hAnsi="Times New Roman"/>
                <w:kern w:val="2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nakładu</w:t>
            </w:r>
          </w:p>
        </w:tc>
      </w:tr>
      <w:tr>
        <w:trPr>
          <w:trHeight w:val="50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4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4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26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seminariach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41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Wykonanie zadań domowych (opracowanie, prezentacja)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Data opracowania programu: 1.10.202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opracował: </w:t>
            </w:r>
          </w:p>
        </w:tc>
        <w:tc>
          <w:tcPr>
            <w:tcW w:w="737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905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Microsoft Sans Serif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eastAsiaTheme="minorHAnsi"/>
        <w:color w:val="2222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68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2622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17786b"/>
    <w:pPr>
      <w:keepNext w:val="true"/>
      <w:spacing w:lineRule="exact" w:line="240" w:before="0" w:after="0"/>
      <w:outlineLvl w:val="1"/>
    </w:pPr>
    <w:rPr>
      <w:rFonts w:ascii="Microsoft Sans Serif" w:hAnsi="Microsoft Sans Serif" w:eastAsia="Times New Roman"/>
      <w:b/>
      <w:bCs/>
      <w:iCs/>
      <w:sz w:val="1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qFormat/>
    <w:rsid w:val="0017786b"/>
    <w:rPr>
      <w:rFonts w:ascii="Microsoft Sans Serif" w:hAnsi="Microsoft Sans Serif" w:eastAsia="Times New Roman" w:cs="Times New Roman"/>
      <w:b/>
      <w:bCs/>
      <w:iCs/>
      <w:sz w:val="18"/>
      <w:szCs w:val="28"/>
    </w:rPr>
  </w:style>
  <w:style w:type="character" w:styleId="TekstpodstawowyZnak" w:customStyle="1">
    <w:name w:val="Tekst podstawowy Znak"/>
    <w:basedOn w:val="DefaultParagraphFont"/>
    <w:uiPriority w:val="1"/>
    <w:qFormat/>
    <w:rsid w:val="000204de"/>
    <w:rPr>
      <w:rFonts w:ascii="Times New Roman" w:hAnsi="Times New Roman" w:eastAsia="Times New Roman" w:cs="Times New Roman"/>
      <w:sz w:val="24"/>
      <w:szCs w:val="24"/>
      <w:lang w:eastAsia="pl-PL" w:bidi="pl-PL"/>
    </w:rPr>
  </w:style>
  <w:style w:type="character" w:styleId="Czeinternetowe">
    <w:name w:val="Hyperlink"/>
    <w:basedOn w:val="DefaultParagraphFont"/>
    <w:uiPriority w:val="99"/>
    <w:semiHidden/>
    <w:unhideWhenUsed/>
    <w:rsid w:val="00cc79b2"/>
    <w:rPr>
      <w:color w:val="0000FF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82622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0204de"/>
    <w:pPr>
      <w:widowControl w:val="fals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 w:bidi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76810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6036e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c79b2"/>
    <w:pPr>
      <w:spacing w:lineRule="auto" w:line="240" w:beforeAutospacing="1" w:afterAutospacing="1"/>
    </w:pPr>
    <w:rPr>
      <w:rFonts w:ascii="Times New Roman" w:hAnsi="Times New Roman" w:eastAsia="Times New Roman"/>
      <w:color w:val="000000"/>
      <w:sz w:val="24"/>
      <w:szCs w:val="24"/>
      <w:lang w:eastAsia="pl-PL"/>
    </w:rPr>
  </w:style>
  <w:style w:type="paragraph" w:styleId="Price" w:customStyle="1">
    <w:name w:val="price"/>
    <w:basedOn w:val="Normal"/>
    <w:qFormat/>
    <w:rsid w:val="003a6c8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egaksiazki.pl/1000458_wolters-kluwer" TargetMode="External"/><Relationship Id="rId3" Type="http://schemas.openxmlformats.org/officeDocument/2006/relationships/hyperlink" Target="https://tezeusz.pl/wydawnictwo/wi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Application>LibreOffice/7.4.0.3$Windows_X86_64 LibreOffice_project/f85e47c08ddd19c015c0114a68350214f7066f5a</Application>
  <AppVersion>15.0000</AppVersion>
  <Pages>4</Pages>
  <Words>744</Words>
  <Characters>5131</Characters>
  <CharactersWithSpaces>5760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2016-04-04T08:17:00Z</dcterms:created>
  <dc:creator>Krystyna Brzozowska - Przychodzeń</dc:creator>
  <dc:description/>
  <dc:language>pl-PL</dc:language>
  <cp:lastModifiedBy/>
  <dcterms:modified xsi:type="dcterms:W3CDTF">2022-09-01T18:34:49Z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